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50B9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MILAS</w:t>
                            </w:r>
                            <w:r w:rsidR="002520F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MARIAN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850B9A">
                        <w:rPr>
                          <w:rFonts w:eastAsia="Times New Roman"/>
                          <w:b/>
                          <w:lang w:eastAsia="ro-RO"/>
                        </w:rPr>
                        <w:t xml:space="preserve"> MILAS</w:t>
                      </w:r>
                      <w:r w:rsidR="002520F5">
                        <w:rPr>
                          <w:rFonts w:eastAsia="Times New Roman"/>
                          <w:b/>
                          <w:lang w:eastAsia="ro-RO"/>
                        </w:rPr>
                        <w:t xml:space="preserve"> MARIAN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04460">
        <w:rPr>
          <w:rFonts w:eastAsia="Times New Roman"/>
          <w:b/>
          <w:sz w:val="20"/>
          <w:szCs w:val="20"/>
          <w:lang w:eastAsia="ro-RO"/>
        </w:rPr>
        <w:t>r. 56/11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 56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F04460">
        <w:rPr>
          <w:rFonts w:eastAsia="Times New Roman"/>
          <w:b/>
          <w:sz w:val="20"/>
          <w:szCs w:val="20"/>
          <w:lang w:eastAsia="ro-RO"/>
        </w:rPr>
        <w:t>na MILAS</w:t>
      </w:r>
      <w:r w:rsidR="002520F5">
        <w:rPr>
          <w:rFonts w:eastAsia="Times New Roman"/>
          <w:b/>
          <w:sz w:val="20"/>
          <w:szCs w:val="20"/>
          <w:lang w:eastAsia="ro-RO"/>
        </w:rPr>
        <w:t xml:space="preserve"> MARIAN</w:t>
      </w:r>
      <w:r w:rsidR="00A7511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56/11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04460">
        <w:rPr>
          <w:rFonts w:eastAsia="Times New Roman"/>
          <w:b/>
          <w:sz w:val="20"/>
          <w:szCs w:val="20"/>
          <w:lang w:eastAsia="ro-RO"/>
        </w:rPr>
        <w:t>MILAS</w:t>
      </w:r>
      <w:r w:rsidR="00951A49">
        <w:rPr>
          <w:rFonts w:eastAsia="Times New Roman"/>
          <w:b/>
          <w:sz w:val="20"/>
          <w:szCs w:val="20"/>
          <w:lang w:eastAsia="ro-RO"/>
        </w:rPr>
        <w:t xml:space="preserve"> MARIAN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F63A95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5B38EC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51A49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5B38EC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5B38EC">
        <w:rPr>
          <w:b/>
          <w:sz w:val="20"/>
          <w:szCs w:val="20"/>
        </w:rPr>
        <w:t>15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63A9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D1C9B"/>
    <w:rsid w:val="00206F52"/>
    <w:rsid w:val="002108F3"/>
    <w:rsid w:val="002172C8"/>
    <w:rsid w:val="00217F03"/>
    <w:rsid w:val="0023487F"/>
    <w:rsid w:val="002520F5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B3D3D"/>
    <w:rsid w:val="004C3DE3"/>
    <w:rsid w:val="0054370A"/>
    <w:rsid w:val="0058516D"/>
    <w:rsid w:val="005A5ECC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56CA"/>
    <w:rsid w:val="00767898"/>
    <w:rsid w:val="00782504"/>
    <w:rsid w:val="00783B32"/>
    <w:rsid w:val="00787029"/>
    <w:rsid w:val="00792092"/>
    <w:rsid w:val="007D71B0"/>
    <w:rsid w:val="007F2A52"/>
    <w:rsid w:val="007F2FF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12A98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63A95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2024-02-05T07:05:00Z</cp:lastPrinted>
  <dcterms:created xsi:type="dcterms:W3CDTF">2024-03-13T11:13:00Z</dcterms:created>
  <dcterms:modified xsi:type="dcterms:W3CDTF">2024-03-13T11:14:00Z</dcterms:modified>
</cp:coreProperties>
</file>