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7702F" w14:textId="77777777" w:rsidR="00C22089" w:rsidRPr="00F100AB" w:rsidRDefault="00C22089" w:rsidP="00C22089">
      <w:pPr>
        <w:spacing w:before="240" w:after="240" w:line="276" w:lineRule="auto"/>
        <w:rPr>
          <w:b/>
          <w:lang w:eastAsia="ro-RO"/>
        </w:rPr>
      </w:pPr>
      <w:r w:rsidRPr="00F100AB">
        <w:rPr>
          <w:b/>
          <w:lang w:eastAsia="ro-RO"/>
        </w:rPr>
        <w:t>JUDETUL IALOMITA</w:t>
      </w:r>
    </w:p>
    <w:p w14:paraId="557FF683" w14:textId="77777777" w:rsidR="00C22089" w:rsidRPr="00F100AB" w:rsidRDefault="00C22089" w:rsidP="00C22089">
      <w:pPr>
        <w:spacing w:before="240" w:after="240" w:line="276" w:lineRule="auto"/>
        <w:rPr>
          <w:b/>
          <w:lang w:eastAsia="ro-RO"/>
        </w:rPr>
      </w:pPr>
      <w:r w:rsidRPr="00F100AB">
        <w:rPr>
          <w:b/>
          <w:lang w:eastAsia="ro-RO"/>
        </w:rPr>
        <w:t>COMUNA GURA IALOMITEI</w:t>
      </w:r>
    </w:p>
    <w:p w14:paraId="6F7B1D84" w14:textId="5C0C17EC" w:rsidR="00C22089" w:rsidRPr="00F100AB" w:rsidRDefault="00856C64" w:rsidP="00C22089">
      <w:pPr>
        <w:spacing w:before="240" w:after="240" w:line="276" w:lineRule="auto"/>
        <w:rPr>
          <w:b/>
          <w:lang w:eastAsia="ro-RO"/>
        </w:rPr>
      </w:pPr>
      <w:r>
        <w:rPr>
          <w:b/>
          <w:lang w:eastAsia="ro-RO"/>
        </w:rPr>
        <w:t>-C</w:t>
      </w:r>
      <w:r w:rsidR="00CA6B5B">
        <w:rPr>
          <w:b/>
          <w:lang w:eastAsia="ro-RO"/>
        </w:rPr>
        <w:t>ONSILIUL LOCAL</w:t>
      </w:r>
      <w:r w:rsidR="007C3C68">
        <w:rPr>
          <w:b/>
          <w:lang w:eastAsia="ro-RO"/>
        </w:rPr>
        <w:t xml:space="preserve">                                              </w:t>
      </w:r>
      <w:bookmarkStart w:id="0" w:name="_GoBack"/>
      <w:bookmarkEnd w:id="0"/>
      <w:r w:rsidR="00C22089" w:rsidRPr="00F100AB">
        <w:rPr>
          <w:b/>
          <w:lang w:eastAsia="ro-RO"/>
        </w:rPr>
        <w:t>-</w:t>
      </w:r>
    </w:p>
    <w:p w14:paraId="5631A9E4" w14:textId="2EFD085B" w:rsidR="002E2732" w:rsidRPr="00F100AB" w:rsidRDefault="00C22089" w:rsidP="00A16A50">
      <w:pPr>
        <w:spacing w:before="240" w:after="240" w:line="276" w:lineRule="auto"/>
        <w:jc w:val="center"/>
        <w:rPr>
          <w:b/>
          <w:lang w:eastAsia="ro-RO"/>
        </w:rPr>
      </w:pPr>
      <w:r w:rsidRPr="00F100AB">
        <w:rPr>
          <w:b/>
          <w:lang w:eastAsia="ro-RO"/>
        </w:rPr>
        <w:t xml:space="preserve">HOTĂRÂRE </w:t>
      </w:r>
      <w:r w:rsidR="002E2732" w:rsidRPr="00F100AB">
        <w:rPr>
          <w:b/>
          <w:lang w:eastAsia="ro-RO"/>
        </w:rPr>
        <w:t xml:space="preserve"> </w:t>
      </w:r>
    </w:p>
    <w:p w14:paraId="4A4F6146" w14:textId="77777777" w:rsidR="00E8082D" w:rsidRPr="00F100AB" w:rsidRDefault="00E8082D" w:rsidP="00533430">
      <w:pPr>
        <w:spacing w:line="276" w:lineRule="auto"/>
        <w:jc w:val="center"/>
        <w:rPr>
          <w:b/>
          <w:i/>
          <w:iCs/>
        </w:rPr>
      </w:pPr>
      <w:bookmarkStart w:id="1" w:name="_Hlk146016172"/>
      <w:r w:rsidRPr="00F100AB">
        <w:rPr>
          <w:b/>
        </w:rPr>
        <w:t xml:space="preserve">privind </w:t>
      </w:r>
      <w:r w:rsidR="00533430" w:rsidRPr="00F100AB">
        <w:rPr>
          <w:b/>
        </w:rPr>
        <w:t xml:space="preserve">aprobarea </w:t>
      </w:r>
      <w:r w:rsidR="00671B58" w:rsidRPr="00F100AB">
        <w:rPr>
          <w:b/>
        </w:rPr>
        <w:t>transferului dreptului de proprietate a bunurilor mobile achiziționate în cadrul proiectului „</w:t>
      </w:r>
      <w:r w:rsidR="00671B58" w:rsidRPr="00F100AB">
        <w:rPr>
          <w:b/>
          <w:i/>
          <w:iCs/>
        </w:rPr>
        <w:t>Dotarea cu mobilier, materiale didactice și echipamente digitale a unităților de învățământ preuniversitar din județul Ialomița</w:t>
      </w:r>
      <w:r w:rsidR="00671B58" w:rsidRPr="00F100AB">
        <w:rPr>
          <w:b/>
        </w:rPr>
        <w:t>”, finanțat în cadrul Planului Național de Redresare și Reziliență</w:t>
      </w:r>
    </w:p>
    <w:bookmarkEnd w:id="1"/>
    <w:p w14:paraId="6253A547" w14:textId="77777777" w:rsidR="00733147" w:rsidRPr="00F100AB" w:rsidRDefault="00733147" w:rsidP="009555A0">
      <w:pPr>
        <w:spacing w:line="276" w:lineRule="auto"/>
        <w:jc w:val="center"/>
        <w:rPr>
          <w:b/>
          <w:sz w:val="16"/>
          <w:szCs w:val="16"/>
        </w:rPr>
      </w:pPr>
    </w:p>
    <w:p w14:paraId="7759244D" w14:textId="514F729D" w:rsidR="00C22089" w:rsidRPr="00F100AB" w:rsidRDefault="00856C64" w:rsidP="00C22089">
      <w:pPr>
        <w:spacing w:after="240" w:line="276" w:lineRule="auto"/>
        <w:ind w:firstLine="720"/>
        <w:jc w:val="both"/>
        <w:rPr>
          <w:b/>
        </w:rPr>
      </w:pPr>
      <w:r>
        <w:rPr>
          <w:b/>
        </w:rPr>
        <w:t xml:space="preserve">Consiliul local al </w:t>
      </w:r>
      <w:r w:rsidR="00C22089" w:rsidRPr="00F100AB">
        <w:rPr>
          <w:b/>
        </w:rPr>
        <w:t>comunei Gura Ialomitei, judetul Ialomita;</w:t>
      </w:r>
    </w:p>
    <w:p w14:paraId="7ED5CD3A" w14:textId="77777777" w:rsidR="00501225" w:rsidRPr="00F100AB" w:rsidRDefault="00501225" w:rsidP="009555A0">
      <w:pPr>
        <w:spacing w:line="276" w:lineRule="auto"/>
        <w:ind w:firstLine="720"/>
        <w:jc w:val="both"/>
        <w:rPr>
          <w:b/>
        </w:rPr>
      </w:pPr>
      <w:r w:rsidRPr="00F100AB">
        <w:rPr>
          <w:b/>
        </w:rPr>
        <w:t>Având</w:t>
      </w:r>
      <w:r w:rsidR="009B3E48" w:rsidRPr="00F100AB">
        <w:rPr>
          <w:b/>
        </w:rPr>
        <w:t xml:space="preserve"> </w:t>
      </w:r>
      <w:r w:rsidRPr="00F100AB">
        <w:rPr>
          <w:b/>
        </w:rPr>
        <w:t>î</w:t>
      </w:r>
      <w:r w:rsidR="009B3E48" w:rsidRPr="00F100AB">
        <w:rPr>
          <w:b/>
        </w:rPr>
        <w:t>n vedere:</w:t>
      </w:r>
    </w:p>
    <w:p w14:paraId="6B2F26F9" w14:textId="5F907B07" w:rsidR="009B3E48" w:rsidRPr="00F100AB" w:rsidRDefault="002B7F00" w:rsidP="009555A0">
      <w:pPr>
        <w:numPr>
          <w:ilvl w:val="0"/>
          <w:numId w:val="5"/>
        </w:numPr>
        <w:spacing w:after="240" w:line="276" w:lineRule="auto"/>
        <w:jc w:val="both"/>
        <w:rPr>
          <w:b/>
        </w:rPr>
      </w:pPr>
      <w:r w:rsidRPr="00F100AB">
        <w:rPr>
          <w:b/>
        </w:rPr>
        <w:t>Referatul de aprobare</w:t>
      </w:r>
      <w:r w:rsidR="009B3E48" w:rsidRPr="00F100AB">
        <w:rPr>
          <w:b/>
        </w:rPr>
        <w:t xml:space="preserve"> nr</w:t>
      </w:r>
      <w:r w:rsidR="00856C64">
        <w:rPr>
          <w:b/>
        </w:rPr>
        <w:t xml:space="preserve">. 6039/25 XI 2025 </w:t>
      </w:r>
      <w:r w:rsidR="009B3E48" w:rsidRPr="00F100AB">
        <w:rPr>
          <w:b/>
        </w:rPr>
        <w:t>a</w:t>
      </w:r>
      <w:r w:rsidR="00631403" w:rsidRPr="00F100AB">
        <w:rPr>
          <w:b/>
        </w:rPr>
        <w:t>l</w:t>
      </w:r>
      <w:r w:rsidR="009B3E48" w:rsidRPr="00F100AB">
        <w:rPr>
          <w:b/>
        </w:rPr>
        <w:t xml:space="preserve"> </w:t>
      </w:r>
      <w:r w:rsidR="00E20AC5" w:rsidRPr="00F100AB">
        <w:rPr>
          <w:b/>
        </w:rPr>
        <w:t xml:space="preserve">Primarului </w:t>
      </w:r>
      <w:r w:rsidR="00C22089" w:rsidRPr="00F100AB">
        <w:rPr>
          <w:b/>
        </w:rPr>
        <w:t>comunei Gura Ialomitei, judetul Ialomita;</w:t>
      </w:r>
    </w:p>
    <w:p w14:paraId="3AE34E50" w14:textId="2B27E83D" w:rsidR="00C22089" w:rsidRPr="00F100AB" w:rsidRDefault="00C22089" w:rsidP="009555A0">
      <w:pPr>
        <w:numPr>
          <w:ilvl w:val="0"/>
          <w:numId w:val="5"/>
        </w:numPr>
        <w:spacing w:after="240" w:line="276" w:lineRule="auto"/>
        <w:jc w:val="both"/>
        <w:rPr>
          <w:b/>
        </w:rPr>
      </w:pPr>
      <w:r w:rsidRPr="00F100AB">
        <w:rPr>
          <w:b/>
        </w:rPr>
        <w:t>-raport compar</w:t>
      </w:r>
      <w:r w:rsidR="00CA6B5B">
        <w:rPr>
          <w:b/>
        </w:rPr>
        <w:t>timent de specialitate, nr 6040/26 XI 2025</w:t>
      </w:r>
    </w:p>
    <w:p w14:paraId="0AF716DF" w14:textId="77777777" w:rsidR="00501225" w:rsidRPr="00F100AB" w:rsidRDefault="00501225" w:rsidP="009555A0">
      <w:pPr>
        <w:spacing w:line="276" w:lineRule="auto"/>
        <w:ind w:left="720"/>
        <w:jc w:val="both"/>
        <w:rPr>
          <w:b/>
        </w:rPr>
      </w:pPr>
      <w:r w:rsidRPr="00F100AB">
        <w:rPr>
          <w:b/>
        </w:rPr>
        <w:t>Examinând</w:t>
      </w:r>
      <w:r w:rsidR="009B3E48" w:rsidRPr="00F100AB">
        <w:rPr>
          <w:b/>
        </w:rPr>
        <w:t>:</w:t>
      </w:r>
    </w:p>
    <w:p w14:paraId="44351897" w14:textId="200D915C" w:rsidR="00671B58" w:rsidRPr="00F100AB" w:rsidRDefault="00E8082D">
      <w:pPr>
        <w:numPr>
          <w:ilvl w:val="0"/>
          <w:numId w:val="4"/>
        </w:numPr>
        <w:spacing w:line="276" w:lineRule="auto"/>
        <w:jc w:val="both"/>
        <w:rPr>
          <w:b/>
          <w:bCs/>
        </w:rPr>
      </w:pPr>
      <w:r w:rsidRPr="00F100AB">
        <w:rPr>
          <w:b/>
        </w:rPr>
        <w:t xml:space="preserve">Hotărârea </w:t>
      </w:r>
      <w:bookmarkStart w:id="2" w:name="_Hlk145408185"/>
      <w:r w:rsidRPr="00F100AB">
        <w:rPr>
          <w:b/>
        </w:rPr>
        <w:t xml:space="preserve">Consiliului </w:t>
      </w:r>
      <w:bookmarkEnd w:id="2"/>
      <w:r w:rsidR="00007B34" w:rsidRPr="00F100AB">
        <w:rPr>
          <w:b/>
        </w:rPr>
        <w:t xml:space="preserve">Local al </w:t>
      </w:r>
      <w:r w:rsidR="00C22089" w:rsidRPr="00F100AB">
        <w:rPr>
          <w:b/>
        </w:rPr>
        <w:t xml:space="preserve">comunei Gura Ialomitei  nr 9/09 03 2023 </w:t>
      </w:r>
      <w:r w:rsidR="00007B34" w:rsidRPr="00F100AB">
        <w:rPr>
          <w:b/>
        </w:rPr>
        <w:t xml:space="preserve"> </w:t>
      </w:r>
      <w:r w:rsidRPr="00F100AB">
        <w:rPr>
          <w:b/>
        </w:rPr>
        <w:t xml:space="preserve">privind </w:t>
      </w:r>
      <w:r w:rsidR="005B12C5" w:rsidRPr="00F100AB">
        <w:rPr>
          <w:b/>
        </w:rPr>
        <w:t xml:space="preserve">aprobarea </w:t>
      </w:r>
      <w:bookmarkStart w:id="3" w:name="_Hlk194324634"/>
      <w:r w:rsidR="00007B34" w:rsidRPr="00F100AB">
        <w:rPr>
          <w:b/>
        </w:rPr>
        <w:t>delegării</w:t>
      </w:r>
      <w:r w:rsidR="00671B58" w:rsidRPr="00F100AB">
        <w:rPr>
          <w:b/>
        </w:rPr>
        <w:t> către Unitatea Administrativ - Teritorială Județul Ialomița a</w:t>
      </w:r>
      <w:r w:rsidR="00007B34" w:rsidRPr="00F100AB">
        <w:rPr>
          <w:b/>
        </w:rPr>
        <w:t xml:space="preserve"> depunerii cererii de finanțare și implementarea</w:t>
      </w:r>
      <w:r w:rsidR="00671B58" w:rsidRPr="00F100AB">
        <w:rPr>
          <w:b/>
        </w:rPr>
        <w:t xml:space="preserve"> Proiectului „</w:t>
      </w:r>
      <w:r w:rsidR="00671B58" w:rsidRPr="00F100AB">
        <w:rPr>
          <w:b/>
          <w:i/>
          <w:iCs/>
        </w:rPr>
        <w:t>Dotarea cu mobilier, materiale didactice și echipamente digitale a unităților de învățământ preuniversitar din județul Ialomița</w:t>
      </w:r>
      <w:r w:rsidR="00671B58" w:rsidRPr="00F100AB">
        <w:rPr>
          <w:b/>
        </w:rPr>
        <w:t>”, finanțat în cadrul Planului Național de Redresare și Reziliență;</w:t>
      </w:r>
    </w:p>
    <w:p w14:paraId="43FD3FCF" w14:textId="19975F38" w:rsidR="005B12C5" w:rsidRPr="00F100AB" w:rsidRDefault="005B12C5">
      <w:pPr>
        <w:numPr>
          <w:ilvl w:val="0"/>
          <w:numId w:val="4"/>
        </w:numPr>
        <w:spacing w:line="276" w:lineRule="auto"/>
        <w:jc w:val="both"/>
        <w:rPr>
          <w:b/>
          <w:bCs/>
        </w:rPr>
      </w:pPr>
      <w:bookmarkStart w:id="4" w:name="_Hlk213251576"/>
      <w:r w:rsidRPr="00F100AB">
        <w:rPr>
          <w:b/>
        </w:rPr>
        <w:t xml:space="preserve">Acordul de colaborare </w:t>
      </w:r>
      <w:bookmarkStart w:id="5" w:name="_Hlk213850750"/>
      <w:r w:rsidRPr="00F100AB">
        <w:rPr>
          <w:b/>
        </w:rPr>
        <w:t>nr.</w:t>
      </w:r>
      <w:r w:rsidR="00F44178" w:rsidRPr="00F100AB">
        <w:rPr>
          <w:b/>
        </w:rPr>
        <w:t>7181/2023-V/16.03.2023</w:t>
      </w:r>
      <w:r w:rsidRPr="00F100AB">
        <w:rPr>
          <w:b/>
        </w:rPr>
        <w:t xml:space="preserve"> </w:t>
      </w:r>
      <w:bookmarkEnd w:id="4"/>
      <w:r w:rsidRPr="00F100AB">
        <w:rPr>
          <w:b/>
        </w:rPr>
        <w:t xml:space="preserve">pentru depunerea și implementarea proiectului </w:t>
      </w:r>
      <w:bookmarkEnd w:id="5"/>
      <w:r w:rsidRPr="00F100AB">
        <w:rPr>
          <w:b/>
          <w:i/>
          <w:iCs/>
        </w:rPr>
        <w:t>„</w:t>
      </w:r>
      <w:r w:rsidR="00671B58" w:rsidRPr="00F100AB">
        <w:rPr>
          <w:b/>
          <w:i/>
          <w:iCs/>
        </w:rPr>
        <w:t>Dotarea cu mobilier, materiale didactice și echipamente digitale a unităților de învățământ preuniversitar din județul Ialomița</w:t>
      </w:r>
      <w:r w:rsidRPr="00F100AB">
        <w:rPr>
          <w:b/>
          <w:i/>
          <w:iCs/>
        </w:rPr>
        <w:t>”,</w:t>
      </w:r>
      <w:r w:rsidRPr="00F100AB">
        <w:rPr>
          <w:b/>
        </w:rPr>
        <w:t xml:space="preserve"> finanțat în cadrul Planului Național de Redresare și Reziliență</w:t>
      </w:r>
      <w:r w:rsidR="00157F16" w:rsidRPr="00F100AB">
        <w:rPr>
          <w:b/>
        </w:rPr>
        <w:t xml:space="preserve">, încheiat între Județul Ialomița, în calitate de solicitant al finanțării și </w:t>
      </w:r>
      <w:r w:rsidR="00007B34" w:rsidRPr="00F100AB">
        <w:rPr>
          <w:b/>
        </w:rPr>
        <w:t xml:space="preserve">UAT </w:t>
      </w:r>
      <w:r w:rsidR="00C22089" w:rsidRPr="00F100AB">
        <w:rPr>
          <w:b/>
        </w:rPr>
        <w:t>Gura Ialomitei</w:t>
      </w:r>
      <w:r w:rsidR="00157F16" w:rsidRPr="00F100AB">
        <w:rPr>
          <w:b/>
        </w:rPr>
        <w:t xml:space="preserve"> în calitate de delegatar;</w:t>
      </w:r>
    </w:p>
    <w:p w14:paraId="6585B1B4" w14:textId="77777777" w:rsidR="00166400" w:rsidRPr="00F100AB" w:rsidRDefault="00166400">
      <w:pPr>
        <w:numPr>
          <w:ilvl w:val="0"/>
          <w:numId w:val="4"/>
        </w:numPr>
        <w:spacing w:line="276" w:lineRule="auto"/>
        <w:jc w:val="both"/>
        <w:rPr>
          <w:b/>
          <w:bCs/>
        </w:rPr>
      </w:pPr>
      <w:bookmarkStart w:id="6" w:name="_Hlk194324620"/>
      <w:bookmarkEnd w:id="3"/>
      <w:r w:rsidRPr="00F100AB">
        <w:rPr>
          <w:b/>
        </w:rPr>
        <w:t xml:space="preserve">Contractul de finanțare </w:t>
      </w:r>
      <w:r w:rsidR="00671B58" w:rsidRPr="00F100AB">
        <w:rPr>
          <w:b/>
        </w:rPr>
        <w:t>nr.223DOT/26.07.2023</w:t>
      </w:r>
      <w:r w:rsidRPr="00F100AB">
        <w:rPr>
          <w:b/>
        </w:rPr>
        <w:t>, încheiat între</w:t>
      </w:r>
      <w:r w:rsidR="00671B58" w:rsidRPr="00F100AB">
        <w:rPr>
          <w:b/>
        </w:rPr>
        <w:t xml:space="preserve"> </w:t>
      </w:r>
      <w:bookmarkStart w:id="7" w:name="_Hlk213251673"/>
      <w:r w:rsidR="00671B58" w:rsidRPr="00F100AB">
        <w:rPr>
          <w:b/>
        </w:rPr>
        <w:t>UEFISCDI, în numele și pentru</w:t>
      </w:r>
      <w:r w:rsidRPr="00F100AB">
        <w:rPr>
          <w:b/>
        </w:rPr>
        <w:t xml:space="preserve"> Ministerul Educației, în calitate de </w:t>
      </w:r>
      <w:r w:rsidR="00671B58" w:rsidRPr="00F100AB">
        <w:rPr>
          <w:b/>
        </w:rPr>
        <w:t>F</w:t>
      </w:r>
      <w:r w:rsidRPr="00F100AB">
        <w:rPr>
          <w:b/>
        </w:rPr>
        <w:t xml:space="preserve">inanțator </w:t>
      </w:r>
      <w:bookmarkEnd w:id="7"/>
      <w:r w:rsidRPr="00F100AB">
        <w:rPr>
          <w:b/>
        </w:rPr>
        <w:t xml:space="preserve">și </w:t>
      </w:r>
      <w:r w:rsidR="00671B58" w:rsidRPr="00F100AB">
        <w:rPr>
          <w:b/>
        </w:rPr>
        <w:t>Județul</w:t>
      </w:r>
      <w:r w:rsidRPr="00F100AB">
        <w:rPr>
          <w:b/>
        </w:rPr>
        <w:t xml:space="preserve"> Ialomița, în calitate de </w:t>
      </w:r>
      <w:r w:rsidR="00671B58" w:rsidRPr="00F100AB">
        <w:rPr>
          <w:b/>
        </w:rPr>
        <w:t>B</w:t>
      </w:r>
      <w:r w:rsidRPr="00F100AB">
        <w:rPr>
          <w:b/>
        </w:rPr>
        <w:t>eneficiar al finanțării;</w:t>
      </w:r>
    </w:p>
    <w:p w14:paraId="1F4CFE2C" w14:textId="72BC6683" w:rsidR="00007B34" w:rsidRPr="00F100AB" w:rsidRDefault="00007B34">
      <w:pPr>
        <w:numPr>
          <w:ilvl w:val="0"/>
          <w:numId w:val="4"/>
        </w:numPr>
        <w:spacing w:line="276" w:lineRule="auto"/>
        <w:jc w:val="both"/>
        <w:rPr>
          <w:b/>
          <w:bCs/>
        </w:rPr>
      </w:pPr>
      <w:r w:rsidRPr="00F100AB">
        <w:rPr>
          <w:b/>
        </w:rPr>
        <w:t>Hotărârea Consiliului Județean Ialomița nr</w:t>
      </w:r>
      <w:r w:rsidR="00C22089" w:rsidRPr="00F100AB">
        <w:rPr>
          <w:b/>
          <w:highlight w:val="yellow"/>
        </w:rPr>
        <w:t>.</w:t>
      </w:r>
      <w:r w:rsidR="00C22089" w:rsidRPr="00F100AB">
        <w:rPr>
          <w:b/>
        </w:rPr>
        <w:t>202</w:t>
      </w:r>
      <w:r w:rsidRPr="00F100AB">
        <w:rPr>
          <w:b/>
        </w:rPr>
        <w:t xml:space="preserve"> din </w:t>
      </w:r>
      <w:r w:rsidR="00C22089" w:rsidRPr="00F100AB">
        <w:rPr>
          <w:b/>
        </w:rPr>
        <w:t xml:space="preserve">18 </w:t>
      </w:r>
      <w:r w:rsidRPr="00F100AB">
        <w:rPr>
          <w:b/>
        </w:rPr>
        <w:t>.11.2025 privind aprobarea transferului dreptului de proprietate a bunurilor mobile achiziționate în cadrul proiectului „</w:t>
      </w:r>
      <w:r w:rsidRPr="00F100AB">
        <w:rPr>
          <w:b/>
          <w:i/>
          <w:iCs/>
        </w:rPr>
        <w:t>Dotarea cu mobilier, materiale didactice și echipamente digitale a unităților de învățământ preuniversitar din județul Ialomița</w:t>
      </w:r>
      <w:r w:rsidRPr="00F100AB">
        <w:rPr>
          <w:b/>
        </w:rPr>
        <w:t>”, finanțat în cadrul Planului Național de Redresare și Reziliență;</w:t>
      </w:r>
    </w:p>
    <w:p w14:paraId="109F5BC4" w14:textId="30A4CA96" w:rsidR="00007B34" w:rsidRPr="00F100AB" w:rsidRDefault="00007B34">
      <w:pPr>
        <w:numPr>
          <w:ilvl w:val="0"/>
          <w:numId w:val="4"/>
        </w:numPr>
        <w:spacing w:line="276" w:lineRule="auto"/>
        <w:jc w:val="both"/>
        <w:rPr>
          <w:b/>
          <w:bCs/>
        </w:rPr>
      </w:pPr>
      <w:r w:rsidRPr="00F100AB">
        <w:rPr>
          <w:b/>
        </w:rPr>
        <w:t xml:space="preserve">Protocolul nr. </w:t>
      </w:r>
      <w:r w:rsidR="00C22089" w:rsidRPr="00F100AB">
        <w:rPr>
          <w:b/>
        </w:rPr>
        <w:t xml:space="preserve">24403 </w:t>
      </w:r>
      <w:r w:rsidRPr="00F100AB">
        <w:rPr>
          <w:b/>
        </w:rPr>
        <w:t xml:space="preserve">din </w:t>
      </w:r>
      <w:r w:rsidR="00C22089" w:rsidRPr="00F100AB">
        <w:rPr>
          <w:b/>
        </w:rPr>
        <w:t xml:space="preserve">18 XI 2025 </w:t>
      </w:r>
      <w:r w:rsidRPr="00F100AB">
        <w:rPr>
          <w:b/>
        </w:rPr>
        <w:t xml:space="preserve">privind transferul dreptului de proprietate și transmiterea din domeniul privat al Județului Ialomița în domeniul privat al Unității administrativ-teritoriale  </w:t>
      </w:r>
      <w:r w:rsidR="00C22089" w:rsidRPr="00F100AB">
        <w:rPr>
          <w:b/>
        </w:rPr>
        <w:t xml:space="preserve">Gura Ialomitei </w:t>
      </w:r>
      <w:r w:rsidRPr="00F100AB">
        <w:rPr>
          <w:b/>
        </w:rPr>
        <w:t xml:space="preserve"> a bunurilor mobile achiziționate în cadrul proiectului „</w:t>
      </w:r>
      <w:r w:rsidRPr="00F100AB">
        <w:rPr>
          <w:b/>
          <w:i/>
          <w:iCs/>
        </w:rPr>
        <w:t xml:space="preserve">Dotarea cu </w:t>
      </w:r>
      <w:r w:rsidRPr="00F100AB">
        <w:rPr>
          <w:b/>
          <w:i/>
          <w:iCs/>
        </w:rPr>
        <w:lastRenderedPageBreak/>
        <w:t>mobilier, materiale didactice și echipamente digitale a unităților de învățământ preuniversitar din județul Ialomița</w:t>
      </w:r>
      <w:r w:rsidRPr="00F100AB">
        <w:rPr>
          <w:b/>
        </w:rPr>
        <w:t>”, finanțat în cadrul Planului Național de Redresare și Reziliență;</w:t>
      </w:r>
    </w:p>
    <w:p w14:paraId="1BA08EF7" w14:textId="5981CEEF" w:rsidR="00007B34" w:rsidRPr="00F100AB" w:rsidRDefault="00007B34" w:rsidP="00517D59">
      <w:pPr>
        <w:numPr>
          <w:ilvl w:val="0"/>
          <w:numId w:val="4"/>
        </w:numPr>
        <w:spacing w:line="276" w:lineRule="auto"/>
        <w:jc w:val="both"/>
        <w:rPr>
          <w:b/>
          <w:bCs/>
        </w:rPr>
      </w:pPr>
      <w:r w:rsidRPr="00F100AB">
        <w:rPr>
          <w:b/>
          <w:bCs/>
        </w:rPr>
        <w:t xml:space="preserve">Proces-verbal de predare primire </w:t>
      </w:r>
      <w:r w:rsidR="00C22089" w:rsidRPr="00F100AB">
        <w:rPr>
          <w:b/>
        </w:rPr>
        <w:t>nr24827</w:t>
      </w:r>
      <w:r w:rsidRPr="00F100AB">
        <w:rPr>
          <w:b/>
        </w:rPr>
        <w:t xml:space="preserve"> din </w:t>
      </w:r>
      <w:r w:rsidR="00C22089" w:rsidRPr="00F100AB">
        <w:rPr>
          <w:b/>
        </w:rPr>
        <w:t>24 XI 2025</w:t>
      </w:r>
      <w:r w:rsidRPr="00F100AB">
        <w:rPr>
          <w:b/>
          <w:bCs/>
        </w:rPr>
        <w:t xml:space="preserve"> privind transferul efectiv a bunurilor mobile achiziționate în cadrul proiectului „</w:t>
      </w:r>
      <w:r w:rsidRPr="00F100AB">
        <w:rPr>
          <w:b/>
          <w:bCs/>
          <w:i/>
          <w:iCs/>
        </w:rPr>
        <w:t>Dotarea cu mobilier, materiale didactice și echipamente digitale a unităților de învățământ preuniversitar din județul Ialomița</w:t>
      </w:r>
      <w:r w:rsidRPr="00F100AB">
        <w:rPr>
          <w:b/>
          <w:bCs/>
        </w:rPr>
        <w:t>”, finanțat în cadrul Planului Național de Redresare și Reziliență;</w:t>
      </w:r>
    </w:p>
    <w:bookmarkEnd w:id="6"/>
    <w:p w14:paraId="2FCC2BA3" w14:textId="77777777" w:rsidR="00007B34" w:rsidRPr="00F100AB" w:rsidRDefault="00007B34" w:rsidP="009555A0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</w:rPr>
      </w:pPr>
    </w:p>
    <w:p w14:paraId="64E2586B" w14:textId="294DFC13" w:rsidR="008C52D8" w:rsidRPr="00F100AB" w:rsidRDefault="008C52D8" w:rsidP="009555A0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</w:rPr>
      </w:pPr>
      <w:r w:rsidRPr="00F100AB">
        <w:rPr>
          <w:b/>
        </w:rPr>
        <w:t>În conformitate cu:</w:t>
      </w:r>
    </w:p>
    <w:p w14:paraId="5A66F6A8" w14:textId="77777777" w:rsidR="00166400" w:rsidRPr="00F100AB" w:rsidRDefault="00166400" w:rsidP="009555A0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F100AB">
        <w:rPr>
          <w:b/>
        </w:rPr>
        <w:t xml:space="preserve">Ghidul solicitantului </w:t>
      </w:r>
      <w:r w:rsidR="004830D6" w:rsidRPr="00F100AB">
        <w:rPr>
          <w:b/>
        </w:rPr>
        <w:t xml:space="preserve">PNRR/2022 care cuprinde condițiile specifice de accesare a fondurilor în cadrul Componentei 15 – : Educație Reforma 4. Crearea unei rute profesionale complete pentru învățământul tehnic superior Investiția 13. </w:t>
      </w:r>
      <w:bookmarkStart w:id="8" w:name="_Hlk213252422"/>
      <w:r w:rsidR="004830D6" w:rsidRPr="00F100AB">
        <w:rPr>
          <w:b/>
        </w:rPr>
        <w:t>Echiparea laboratoarelor informatice din școlile de educație și formare profesională</w:t>
      </w:r>
      <w:bookmarkEnd w:id="8"/>
      <w:r w:rsidR="004830D6" w:rsidRPr="00F100AB">
        <w:rPr>
          <w:b/>
        </w:rPr>
        <w:t xml:space="preserve"> (EFP) Investiția 14. </w:t>
      </w:r>
      <w:bookmarkStart w:id="9" w:name="_Hlk213252409"/>
      <w:r w:rsidR="004830D6" w:rsidRPr="00F100AB">
        <w:rPr>
          <w:b/>
        </w:rPr>
        <w:t>Echiparea atelierelor de practică din unitățile de învățământ profesional și tehnic</w:t>
      </w:r>
      <w:bookmarkEnd w:id="9"/>
      <w:r w:rsidR="004830D6" w:rsidRPr="00F100AB">
        <w:rPr>
          <w:b/>
        </w:rPr>
        <w:t xml:space="preserve"> Reforma 5. Adoptarea cadrului legislativ pentru digitalizarea educației Investiția 9. </w:t>
      </w:r>
      <w:bookmarkStart w:id="10" w:name="_Hlk213252395"/>
      <w:r w:rsidR="004830D6" w:rsidRPr="00F100AB">
        <w:rPr>
          <w:b/>
        </w:rPr>
        <w:t>Asigurarea echipamentelor și a resurselor tehnologice digitale pentru unitățile de învățământ</w:t>
      </w:r>
      <w:bookmarkEnd w:id="10"/>
      <w:r w:rsidR="004830D6" w:rsidRPr="00F100AB">
        <w:rPr>
          <w:b/>
        </w:rPr>
        <w:t xml:space="preserve"> Reforma 6. Actualizarea cadrului legislativ pentru a asigura standarde ecologice de proiectare, construcție și dotare în sistemul de învățământ preuniversitar Investiția 11. </w:t>
      </w:r>
      <w:bookmarkStart w:id="11" w:name="_Hlk213252377"/>
      <w:r w:rsidR="004830D6" w:rsidRPr="00F100AB">
        <w:rPr>
          <w:b/>
        </w:rPr>
        <w:t>Asigurarea dotărilor pentru sălile de clasă preuniversitare și laboratoarele/atelierele școlare</w:t>
      </w:r>
      <w:bookmarkEnd w:id="11"/>
      <w:r w:rsidR="004830D6" w:rsidRPr="00F100AB">
        <w:rPr>
          <w:b/>
        </w:rPr>
        <w:t>;</w:t>
      </w:r>
    </w:p>
    <w:p w14:paraId="3B11798D" w14:textId="77777777" w:rsidR="00F44178" w:rsidRPr="00F100AB" w:rsidRDefault="00F4417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bookmarkStart w:id="12" w:name="_Hlk194324647"/>
      <w:r w:rsidRPr="00F100AB">
        <w:rPr>
          <w:b/>
        </w:rPr>
        <w:t xml:space="preserve">prevederile </w:t>
      </w:r>
      <w:bookmarkStart w:id="13" w:name="_Hlk213252860"/>
      <w:r w:rsidRPr="00F100AB">
        <w:rPr>
          <w:b/>
        </w:rPr>
        <w:t>art.5 alin.(33) și (34) din Contractul de finanțare nr.223DOT/26.07.2023</w:t>
      </w:r>
      <w:bookmarkEnd w:id="13"/>
      <w:r w:rsidRPr="00F100AB">
        <w:rPr>
          <w:b/>
        </w:rPr>
        <w:t xml:space="preserve">, </w:t>
      </w:r>
      <w:bookmarkStart w:id="14" w:name="_Hlk213251912"/>
      <w:r w:rsidR="00771668" w:rsidRPr="00F100AB">
        <w:rPr>
          <w:b/>
        </w:rPr>
        <w:t>ce impun obligația ca</w:t>
      </w:r>
      <w:r w:rsidRPr="00F100AB">
        <w:rPr>
          <w:b/>
        </w:rPr>
        <w:t xml:space="preserve"> la finalizarea perioadei de implementare a Proiectului</w:t>
      </w:r>
      <w:r w:rsidR="00771668" w:rsidRPr="00F100AB">
        <w:rPr>
          <w:b/>
        </w:rPr>
        <w:t>,</w:t>
      </w:r>
      <w:r w:rsidRPr="00F100AB">
        <w:rPr>
          <w:b/>
        </w:rPr>
        <w:t xml:space="preserve"> Beneficiarul care a preluat delegarea depunerii</w:t>
      </w:r>
      <w:r w:rsidR="00771668" w:rsidRPr="00F100AB">
        <w:rPr>
          <w:b/>
        </w:rPr>
        <w:t xml:space="preserve"> (Județul Ialomița)</w:t>
      </w:r>
      <w:r w:rsidRPr="00F100AB">
        <w:rPr>
          <w:b/>
        </w:rPr>
        <w:t xml:space="preserve"> </w:t>
      </w:r>
      <w:r w:rsidR="00771668" w:rsidRPr="00F100AB">
        <w:rPr>
          <w:b/>
        </w:rPr>
        <w:t>să transfere</w:t>
      </w:r>
      <w:r w:rsidRPr="00F100AB">
        <w:rPr>
          <w:b/>
        </w:rPr>
        <w:t xml:space="preserve"> dreptul de proprietate asupra bunurilor achiziționate către entitatea care a delegat dreptul de depunere</w:t>
      </w:r>
      <w:r w:rsidR="00771668" w:rsidRPr="00F100AB">
        <w:rPr>
          <w:b/>
        </w:rPr>
        <w:t xml:space="preserve"> (</w:t>
      </w:r>
      <w:r w:rsidR="00006CE5" w:rsidRPr="00F100AB">
        <w:rPr>
          <w:b/>
        </w:rPr>
        <w:t>unitățile administrativ-teritoriale</w:t>
      </w:r>
      <w:r w:rsidR="00771668" w:rsidRPr="00F100AB">
        <w:rPr>
          <w:b/>
        </w:rPr>
        <w:t xml:space="preserve"> delegatare) și obligația </w:t>
      </w:r>
      <w:r w:rsidR="00BE059B" w:rsidRPr="00F100AB">
        <w:rPr>
          <w:b/>
        </w:rPr>
        <w:t>acestora</w:t>
      </w:r>
      <w:r w:rsidR="00771668" w:rsidRPr="00F100AB">
        <w:rPr>
          <w:b/>
        </w:rPr>
        <w:t xml:space="preserve"> de a transfera dreptul de proprietate asupra bunurilor achiziționate, cu titlu gratuit, fiecărei unități de învățământ</w:t>
      </w:r>
      <w:r w:rsidR="004D205C" w:rsidRPr="00F100AB">
        <w:rPr>
          <w:b/>
        </w:rPr>
        <w:t xml:space="preserve"> din subordine,</w:t>
      </w:r>
      <w:r w:rsidR="00771668" w:rsidRPr="00F100AB">
        <w:rPr>
          <w:b/>
        </w:rPr>
        <w:t xml:space="preserve"> utilizator al investiției finanțate;</w:t>
      </w:r>
    </w:p>
    <w:bookmarkEnd w:id="14"/>
    <w:p w14:paraId="2870ECFE" w14:textId="77777777" w:rsidR="00166400" w:rsidRPr="00F100AB" w:rsidRDefault="00166400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F100AB">
        <w:rPr>
          <w:b/>
        </w:rPr>
        <w:t>p</w:t>
      </w:r>
      <w:r w:rsidR="00AC63EC" w:rsidRPr="00F100AB">
        <w:rPr>
          <w:b/>
        </w:rPr>
        <w:t xml:space="preserve">revederile </w:t>
      </w:r>
      <w:r w:rsidRPr="00F100AB">
        <w:rPr>
          <w:b/>
        </w:rPr>
        <w:t>Hotărârii Guvernului nr. 841/1995 privind procedurile de transmitere fără plată și de valorificare a bunurilor aparținând instituțiilor publice, cu modificările și completările ulterioare, Anexa nr. 1 – Condițiile și procedurile de transmitere, fără plată, de la o instituție publică la altă instituție publică a unor bunuri aflate în stare de funcționare,</w:t>
      </w:r>
    </w:p>
    <w:bookmarkEnd w:id="12"/>
    <w:p w14:paraId="0F408CCA" w14:textId="5263E9BE" w:rsidR="008C52D8" w:rsidRPr="00F100AB" w:rsidRDefault="00856C64" w:rsidP="00856C64">
      <w:pPr>
        <w:autoSpaceDE w:val="0"/>
        <w:autoSpaceDN w:val="0"/>
        <w:adjustRightInd w:val="0"/>
        <w:spacing w:after="240" w:line="276" w:lineRule="auto"/>
        <w:ind w:left="360"/>
        <w:jc w:val="both"/>
        <w:rPr>
          <w:b/>
        </w:rPr>
      </w:pPr>
      <w:r>
        <w:rPr>
          <w:b/>
        </w:rPr>
        <w:t xml:space="preserve">In temeiul </w:t>
      </w:r>
      <w:r w:rsidR="00166400" w:rsidRPr="00F100AB">
        <w:rPr>
          <w:b/>
        </w:rPr>
        <w:t>art. 1</w:t>
      </w:r>
      <w:r w:rsidR="009551DC" w:rsidRPr="00F100AB">
        <w:rPr>
          <w:b/>
        </w:rPr>
        <w:t>29</w:t>
      </w:r>
      <w:r w:rsidR="00166400" w:rsidRPr="00F100AB">
        <w:rPr>
          <w:b/>
        </w:rPr>
        <w:t xml:space="preserve"> alin. (1) lit.</w:t>
      </w:r>
      <w:r w:rsidR="00BE059B" w:rsidRPr="00F100AB">
        <w:rPr>
          <w:b/>
        </w:rPr>
        <w:t xml:space="preserve"> c)</w:t>
      </w:r>
      <w:r w:rsidR="00166400" w:rsidRPr="00F100AB">
        <w:rPr>
          <w:b/>
        </w:rPr>
        <w:t>,</w:t>
      </w:r>
      <w:r w:rsidR="002E7C69" w:rsidRPr="00F100AB">
        <w:rPr>
          <w:b/>
        </w:rPr>
        <w:t xml:space="preserve"> d),</w:t>
      </w:r>
      <w:r w:rsidR="00166400" w:rsidRPr="00F100AB">
        <w:rPr>
          <w:b/>
        </w:rPr>
        <w:t xml:space="preserve"> e)</w:t>
      </w:r>
      <w:r w:rsidR="00BE059B" w:rsidRPr="00F100AB">
        <w:rPr>
          <w:b/>
        </w:rPr>
        <w:t>, alin.(</w:t>
      </w:r>
      <w:r w:rsidR="002E7C69" w:rsidRPr="00F100AB">
        <w:rPr>
          <w:b/>
        </w:rPr>
        <w:t>6</w:t>
      </w:r>
      <w:r w:rsidR="00BE059B" w:rsidRPr="00F100AB">
        <w:rPr>
          <w:b/>
        </w:rPr>
        <w:t>) lit. b),</w:t>
      </w:r>
      <w:r w:rsidR="00166400" w:rsidRPr="00F100AB">
        <w:rPr>
          <w:b/>
        </w:rPr>
        <w:t xml:space="preserve"> alin. (</w:t>
      </w:r>
      <w:r w:rsidR="002E7C69" w:rsidRPr="00F100AB">
        <w:rPr>
          <w:b/>
        </w:rPr>
        <w:t>7</w:t>
      </w:r>
      <w:r w:rsidR="00166400" w:rsidRPr="00F100AB">
        <w:rPr>
          <w:b/>
        </w:rPr>
        <w:t>) lit. a), alin. (</w:t>
      </w:r>
      <w:r w:rsidR="002E7C69" w:rsidRPr="00F100AB">
        <w:rPr>
          <w:b/>
        </w:rPr>
        <w:t>9</w:t>
      </w:r>
      <w:r w:rsidR="00166400" w:rsidRPr="00F100AB">
        <w:rPr>
          <w:b/>
        </w:rPr>
        <w:t>) lit. a)</w:t>
      </w:r>
      <w:r>
        <w:rPr>
          <w:b/>
        </w:rPr>
        <w:t xml:space="preserve">; art. 196, alin . (1), lit. a) </w:t>
      </w:r>
      <w:r w:rsidR="00166400" w:rsidRPr="00F100AB">
        <w:rPr>
          <w:b/>
        </w:rPr>
        <w:t xml:space="preserve"> din Ordonanța de urgență a Guvernului nr. 57/2019 privind Codul administrativ</w:t>
      </w:r>
      <w:r w:rsidR="008C52D8" w:rsidRPr="00F100AB">
        <w:rPr>
          <w:b/>
        </w:rPr>
        <w:t>, cu modificările şi completările ulterioare</w:t>
      </w:r>
      <w:r w:rsidR="00166400" w:rsidRPr="00F100AB">
        <w:rPr>
          <w:b/>
        </w:rPr>
        <w:t>,</w:t>
      </w:r>
    </w:p>
    <w:p w14:paraId="71E59399" w14:textId="03CB836F" w:rsidR="007836DB" w:rsidRPr="00F100AB" w:rsidRDefault="00856C64" w:rsidP="00F321BC">
      <w:pPr>
        <w:spacing w:before="240" w:after="240" w:line="360" w:lineRule="auto"/>
        <w:jc w:val="center"/>
        <w:rPr>
          <w:b/>
        </w:rPr>
      </w:pPr>
      <w:r>
        <w:rPr>
          <w:b/>
        </w:rPr>
        <w:t xml:space="preserve"> HOTARASTE</w:t>
      </w:r>
      <w:r w:rsidR="00E8082D" w:rsidRPr="00F100AB">
        <w:rPr>
          <w:b/>
        </w:rPr>
        <w:t>:</w:t>
      </w:r>
    </w:p>
    <w:p w14:paraId="0F5C3DA3" w14:textId="4F236689" w:rsidR="009931F0" w:rsidRPr="00F100AB" w:rsidRDefault="00A54CEF" w:rsidP="009555A0">
      <w:pPr>
        <w:spacing w:after="240" w:line="276" w:lineRule="auto"/>
        <w:jc w:val="both"/>
        <w:rPr>
          <w:b/>
        </w:rPr>
      </w:pPr>
      <w:r w:rsidRPr="00F100AB">
        <w:rPr>
          <w:b/>
        </w:rPr>
        <w:tab/>
      </w:r>
      <w:r w:rsidR="004773EC" w:rsidRPr="00F100AB">
        <w:rPr>
          <w:b/>
        </w:rPr>
        <w:t>Art.</w:t>
      </w:r>
      <w:r w:rsidR="00591D4D" w:rsidRPr="00F100AB">
        <w:rPr>
          <w:b/>
        </w:rPr>
        <w:t xml:space="preserve">1 </w:t>
      </w:r>
      <w:r w:rsidR="00166400" w:rsidRPr="00F100AB">
        <w:rPr>
          <w:b/>
        </w:rPr>
        <w:t xml:space="preserve">Se aprobă transferul dreptului de proprietate și transmiterea din </w:t>
      </w:r>
      <w:r w:rsidR="00972A35" w:rsidRPr="00F100AB">
        <w:rPr>
          <w:b/>
        </w:rPr>
        <w:t>domeniul privat al</w:t>
      </w:r>
      <w:r w:rsidR="00166400" w:rsidRPr="00F100AB">
        <w:rPr>
          <w:b/>
        </w:rPr>
        <w:t xml:space="preserve"> </w:t>
      </w:r>
      <w:r w:rsidR="00C22089" w:rsidRPr="00F100AB">
        <w:rPr>
          <w:b/>
        </w:rPr>
        <w:t xml:space="preserve">UAT Gura Ialomitei </w:t>
      </w:r>
      <w:r w:rsidR="00166400" w:rsidRPr="00F100AB">
        <w:rPr>
          <w:b/>
        </w:rPr>
        <w:t xml:space="preserve">în </w:t>
      </w:r>
      <w:r w:rsidR="00972A35" w:rsidRPr="00F100AB">
        <w:rPr>
          <w:b/>
        </w:rPr>
        <w:t>domeniul privat al</w:t>
      </w:r>
      <w:r w:rsidR="00166400" w:rsidRPr="00F100AB">
        <w:rPr>
          <w:b/>
        </w:rPr>
        <w:t xml:space="preserve"> </w:t>
      </w:r>
      <w:r w:rsidR="00007B34" w:rsidRPr="00F100AB">
        <w:rPr>
          <w:b/>
        </w:rPr>
        <w:t>unităților de învățământ din subordine, utilizatori ai investiției finanțate</w:t>
      </w:r>
      <w:r w:rsidR="00166400" w:rsidRPr="00F100AB">
        <w:rPr>
          <w:b/>
        </w:rPr>
        <w:t>, a bunurilor mobile achiziționate în cadrul proiectului „</w:t>
      </w:r>
      <w:r w:rsidR="004830D6" w:rsidRPr="00F100AB">
        <w:rPr>
          <w:b/>
          <w:i/>
          <w:iCs/>
        </w:rPr>
        <w:t>Dotarea cu mobilier, materiale didactice și echipamente digitale a unităților de învățământ preuniversitar din județul Ialomița</w:t>
      </w:r>
      <w:r w:rsidR="00166400" w:rsidRPr="00F100AB">
        <w:rPr>
          <w:b/>
        </w:rPr>
        <w:t>”</w:t>
      </w:r>
      <w:r w:rsidR="004830D6" w:rsidRPr="00F100AB">
        <w:rPr>
          <w:b/>
        </w:rPr>
        <w:t>,</w:t>
      </w:r>
      <w:r w:rsidR="00166400" w:rsidRPr="00F100AB">
        <w:rPr>
          <w:b/>
        </w:rPr>
        <w:t xml:space="preserve"> </w:t>
      </w:r>
      <w:r w:rsidR="004830D6" w:rsidRPr="00F100AB">
        <w:rPr>
          <w:b/>
        </w:rPr>
        <w:t>finanțat în cadrul Planului Național de Redresare și Reziliență</w:t>
      </w:r>
      <w:r w:rsidR="00166400" w:rsidRPr="00F100AB">
        <w:rPr>
          <w:b/>
        </w:rPr>
        <w:t>, având datele de identificare prevăzute în Anex</w:t>
      </w:r>
      <w:r w:rsidR="00007B34" w:rsidRPr="00F100AB">
        <w:rPr>
          <w:b/>
        </w:rPr>
        <w:t>a</w:t>
      </w:r>
      <w:r w:rsidR="00166400" w:rsidRPr="00F100AB">
        <w:rPr>
          <w:b/>
        </w:rPr>
        <w:t xml:space="preserve"> nr. 1</w:t>
      </w:r>
      <w:r w:rsidR="00157F16" w:rsidRPr="00F100AB">
        <w:rPr>
          <w:b/>
        </w:rPr>
        <w:t>,</w:t>
      </w:r>
      <w:r w:rsidR="00166400" w:rsidRPr="00F100AB">
        <w:rPr>
          <w:b/>
        </w:rPr>
        <w:t xml:space="preserve"> care fac</w:t>
      </w:r>
      <w:r w:rsidR="00007B34" w:rsidRPr="00F100AB">
        <w:rPr>
          <w:b/>
        </w:rPr>
        <w:t>e</w:t>
      </w:r>
      <w:r w:rsidR="00166400" w:rsidRPr="00F100AB">
        <w:rPr>
          <w:b/>
        </w:rPr>
        <w:t xml:space="preserve"> parte integrantă din prezenta hotărâre.</w:t>
      </w:r>
    </w:p>
    <w:p w14:paraId="60B53CCD" w14:textId="407DABE8" w:rsidR="00166400" w:rsidRPr="00F100AB" w:rsidRDefault="00A54CEF" w:rsidP="00CA2812">
      <w:pPr>
        <w:spacing w:line="276" w:lineRule="auto"/>
        <w:jc w:val="both"/>
        <w:rPr>
          <w:b/>
          <w:bCs/>
        </w:rPr>
      </w:pPr>
      <w:r w:rsidRPr="00F100AB">
        <w:rPr>
          <w:b/>
        </w:rPr>
        <w:lastRenderedPageBreak/>
        <w:tab/>
      </w:r>
      <w:r w:rsidR="00166400" w:rsidRPr="00F100AB">
        <w:rPr>
          <w:b/>
          <w:bCs/>
        </w:rPr>
        <w:t>Art.2</w:t>
      </w:r>
      <w:r w:rsidR="00166400" w:rsidRPr="00F100AB">
        <w:rPr>
          <w:b/>
        </w:rPr>
        <w:t xml:space="preserve"> </w:t>
      </w:r>
      <w:r w:rsidR="00166400" w:rsidRPr="00F100AB">
        <w:rPr>
          <w:b/>
          <w:bCs/>
        </w:rPr>
        <w:t xml:space="preserve">(1) </w:t>
      </w:r>
      <w:r w:rsidR="00166400" w:rsidRPr="00F100AB">
        <w:rPr>
          <w:b/>
        </w:rPr>
        <w:t>Predarea și preluarea bunurilor mobile prevăzute la Art.1 se va face pe bază de protocol încheiat între</w:t>
      </w:r>
      <w:r w:rsidR="00C22089" w:rsidRPr="00F100AB">
        <w:rPr>
          <w:b/>
        </w:rPr>
        <w:t xml:space="preserve"> UAT GURA IALOMITEI </w:t>
      </w:r>
      <w:r w:rsidR="00166400" w:rsidRPr="00F100AB">
        <w:rPr>
          <w:b/>
        </w:rPr>
        <w:t xml:space="preserve">și </w:t>
      </w:r>
      <w:r w:rsidR="00F321BC" w:rsidRPr="00F100AB">
        <w:rPr>
          <w:b/>
        </w:rPr>
        <w:t xml:space="preserve">fiecare </w:t>
      </w:r>
      <w:r w:rsidR="00007B34" w:rsidRPr="00F100AB">
        <w:rPr>
          <w:b/>
        </w:rPr>
        <w:t>unitate de învățământ din subordine, utilizator al investiției finanțate</w:t>
      </w:r>
      <w:r w:rsidR="00166400" w:rsidRPr="00F100AB">
        <w:rPr>
          <w:b/>
        </w:rPr>
        <w:t xml:space="preserve">, prin reprezentanții legali. </w:t>
      </w:r>
    </w:p>
    <w:p w14:paraId="23EA7338" w14:textId="77777777" w:rsidR="00CA2812" w:rsidRPr="00F100AB" w:rsidRDefault="00166400" w:rsidP="00CA2812">
      <w:pPr>
        <w:spacing w:line="276" w:lineRule="auto"/>
        <w:ind w:firstLine="720"/>
        <w:jc w:val="both"/>
        <w:rPr>
          <w:b/>
          <w:bCs/>
        </w:rPr>
      </w:pPr>
      <w:r w:rsidRPr="00F100AB">
        <w:rPr>
          <w:b/>
          <w:bCs/>
        </w:rPr>
        <w:t xml:space="preserve">(2) </w:t>
      </w:r>
      <w:r w:rsidR="00CA2812" w:rsidRPr="00F100AB">
        <w:rPr>
          <w:b/>
        </w:rPr>
        <w:t xml:space="preserve">Predarea-preluarea efectivă a </w:t>
      </w:r>
      <w:r w:rsidR="00BE059B" w:rsidRPr="00F100AB">
        <w:rPr>
          <w:b/>
        </w:rPr>
        <w:t>bunurilor mobile</w:t>
      </w:r>
      <w:r w:rsidR="00CA2812" w:rsidRPr="00F100AB">
        <w:rPr>
          <w:b/>
        </w:rPr>
        <w:t xml:space="preserve"> se va realiza pe baza proceselor-verbale întocmite de comisii desemnate în acest sens.</w:t>
      </w:r>
    </w:p>
    <w:p w14:paraId="7452F0A6" w14:textId="1D4E17D9" w:rsidR="00166400" w:rsidRPr="00F100AB" w:rsidRDefault="00CA2812" w:rsidP="00CA2812">
      <w:pPr>
        <w:spacing w:line="276" w:lineRule="auto"/>
        <w:ind w:firstLine="720"/>
        <w:jc w:val="both"/>
        <w:rPr>
          <w:b/>
        </w:rPr>
      </w:pPr>
      <w:r w:rsidRPr="00F100AB">
        <w:rPr>
          <w:b/>
          <w:bCs/>
        </w:rPr>
        <w:t xml:space="preserve">(3) </w:t>
      </w:r>
      <w:r w:rsidR="00166400" w:rsidRPr="00F100AB">
        <w:rPr>
          <w:b/>
        </w:rPr>
        <w:t xml:space="preserve">În baza protocoalelor de predare – primire se vor efectua operațiunile financiar contabile de scoatere din evidența contabilă a </w:t>
      </w:r>
      <w:r w:rsidR="00C22089" w:rsidRPr="00F100AB">
        <w:rPr>
          <w:b/>
        </w:rPr>
        <w:t xml:space="preserve">UAT GURA IALOMITEI </w:t>
      </w:r>
      <w:r w:rsidR="00166400" w:rsidRPr="00F100AB">
        <w:rPr>
          <w:b/>
        </w:rPr>
        <w:t xml:space="preserve"> respectiv de introducere în evidența contabilă a  </w:t>
      </w:r>
      <w:r w:rsidR="00007B34" w:rsidRPr="00F100AB">
        <w:rPr>
          <w:b/>
        </w:rPr>
        <w:t>unităților de învățământ din subordine, utilizatori ai investiției finanțate</w:t>
      </w:r>
      <w:r w:rsidR="00F44178" w:rsidRPr="00F100AB">
        <w:rPr>
          <w:b/>
        </w:rPr>
        <w:t>.</w:t>
      </w:r>
    </w:p>
    <w:p w14:paraId="378AFBBC" w14:textId="0392FD53" w:rsidR="00166400" w:rsidRPr="00F100AB" w:rsidRDefault="00166400" w:rsidP="009E4481">
      <w:pPr>
        <w:spacing w:after="240" w:line="276" w:lineRule="auto"/>
        <w:ind w:firstLine="720"/>
        <w:jc w:val="both"/>
        <w:rPr>
          <w:b/>
          <w:bCs/>
        </w:rPr>
      </w:pPr>
      <w:r w:rsidRPr="00F100AB">
        <w:rPr>
          <w:b/>
          <w:bCs/>
        </w:rPr>
        <w:t>(</w:t>
      </w:r>
      <w:r w:rsidR="00CA2812" w:rsidRPr="00F100AB">
        <w:rPr>
          <w:b/>
          <w:bCs/>
        </w:rPr>
        <w:t>4</w:t>
      </w:r>
      <w:r w:rsidRPr="00F100AB">
        <w:rPr>
          <w:b/>
          <w:bCs/>
        </w:rPr>
        <w:t xml:space="preserve">) </w:t>
      </w:r>
      <w:r w:rsidRPr="00F100AB">
        <w:rPr>
          <w:b/>
        </w:rPr>
        <w:t xml:space="preserve">Se împuternicește </w:t>
      </w:r>
      <w:r w:rsidR="00007B34" w:rsidRPr="00F100AB">
        <w:rPr>
          <w:b/>
        </w:rPr>
        <w:t>Primarul</w:t>
      </w:r>
      <w:r w:rsidR="00C22089" w:rsidRPr="00F100AB">
        <w:rPr>
          <w:b/>
        </w:rPr>
        <w:t xml:space="preserve"> comunei Gura Ialomitei </w:t>
      </w:r>
      <w:r w:rsidR="00F321BC" w:rsidRPr="00F100AB">
        <w:rPr>
          <w:b/>
        </w:rPr>
        <w:t>să semneze</w:t>
      </w:r>
      <w:r w:rsidR="00C22089" w:rsidRPr="00F100AB">
        <w:rPr>
          <w:b/>
        </w:rPr>
        <w:t xml:space="preserve"> în numele și pe seama UAT GURA IALOMITEI </w:t>
      </w:r>
      <w:r w:rsidRPr="00F100AB">
        <w:rPr>
          <w:b/>
        </w:rPr>
        <w:t>protoco</w:t>
      </w:r>
      <w:r w:rsidR="00007B34" w:rsidRPr="00F100AB">
        <w:rPr>
          <w:b/>
        </w:rPr>
        <w:t>lul</w:t>
      </w:r>
      <w:r w:rsidRPr="00F100AB">
        <w:rPr>
          <w:b/>
        </w:rPr>
        <w:t xml:space="preserve"> de predare – primire în forma prevăzută în Anexa </w:t>
      </w:r>
      <w:r w:rsidR="009E4481" w:rsidRPr="00F100AB">
        <w:rPr>
          <w:b/>
        </w:rPr>
        <w:t>nr.2</w:t>
      </w:r>
      <w:r w:rsidR="00F44178" w:rsidRPr="00F100AB">
        <w:rPr>
          <w:b/>
        </w:rPr>
        <w:t>,</w:t>
      </w:r>
      <w:r w:rsidRPr="00F100AB">
        <w:rPr>
          <w:b/>
        </w:rPr>
        <w:t xml:space="preserve"> care face parte integrală din prezenta hotărâre.</w:t>
      </w:r>
    </w:p>
    <w:p w14:paraId="69E835F5" w14:textId="1018DEAB" w:rsidR="00FC469B" w:rsidRDefault="00066963" w:rsidP="009555A0">
      <w:pPr>
        <w:spacing w:line="276" w:lineRule="auto"/>
        <w:ind w:firstLine="720"/>
        <w:jc w:val="both"/>
        <w:rPr>
          <w:b/>
        </w:rPr>
      </w:pPr>
      <w:r w:rsidRPr="00F100AB">
        <w:rPr>
          <w:b/>
        </w:rPr>
        <w:t>Art.</w:t>
      </w:r>
      <w:r w:rsidR="00D53B2B" w:rsidRPr="00F100AB">
        <w:rPr>
          <w:b/>
        </w:rPr>
        <w:t>3</w:t>
      </w:r>
      <w:r w:rsidR="00C22089" w:rsidRPr="00F100AB">
        <w:rPr>
          <w:b/>
        </w:rPr>
        <w:t xml:space="preserve"> Secretarul general al comunei Gura Ialomitei   va comunica </w:t>
      </w:r>
      <w:r w:rsidR="00520F9F" w:rsidRPr="00F100AB">
        <w:rPr>
          <w:b/>
        </w:rPr>
        <w:t xml:space="preserve"> p</w:t>
      </w:r>
      <w:r w:rsidR="00092840" w:rsidRPr="00F100AB">
        <w:rPr>
          <w:b/>
        </w:rPr>
        <w:t xml:space="preserve">rezenta </w:t>
      </w:r>
      <w:r w:rsidR="00C22089" w:rsidRPr="00F100AB">
        <w:rPr>
          <w:b/>
        </w:rPr>
        <w:t xml:space="preserve">hotărâre </w:t>
      </w:r>
      <w:r w:rsidR="00E326F6" w:rsidRPr="00F100AB">
        <w:rPr>
          <w:b/>
        </w:rPr>
        <w:t>spre ducere</w:t>
      </w:r>
      <w:r w:rsidR="00092840" w:rsidRPr="00F100AB">
        <w:rPr>
          <w:b/>
        </w:rPr>
        <w:t xml:space="preserve"> la </w:t>
      </w:r>
      <w:r w:rsidR="001475AD" w:rsidRPr="00F100AB">
        <w:rPr>
          <w:b/>
        </w:rPr>
        <w:t>îndeplinire</w:t>
      </w:r>
      <w:r w:rsidR="00092840" w:rsidRPr="00F100AB">
        <w:rPr>
          <w:b/>
        </w:rPr>
        <w:t xml:space="preserve"> </w:t>
      </w:r>
      <w:r w:rsidR="00C22089" w:rsidRPr="00F100AB">
        <w:rPr>
          <w:b/>
        </w:rPr>
        <w:t xml:space="preserve">compartimentelor de specialitate din cadrul UAT GURA IALOMITEI </w:t>
      </w:r>
      <w:r w:rsidR="00F321BC" w:rsidRPr="00F100AB">
        <w:rPr>
          <w:b/>
        </w:rPr>
        <w:t>implicate în implementarea proiectului</w:t>
      </w:r>
      <w:r w:rsidR="00F100AB" w:rsidRPr="00F100AB">
        <w:rPr>
          <w:b/>
        </w:rPr>
        <w:t xml:space="preserve"> ;</w:t>
      </w:r>
      <w:r w:rsidR="00F321BC" w:rsidRPr="00F100AB">
        <w:rPr>
          <w:b/>
        </w:rPr>
        <w:t xml:space="preserve"> </w:t>
      </w:r>
      <w:r w:rsidR="009E4481" w:rsidRPr="00F100AB">
        <w:rPr>
          <w:b/>
        </w:rPr>
        <w:t>unităților de învățământ din subordine, utilizatori ai investiției finanțate</w:t>
      </w:r>
      <w:r w:rsidR="00F100AB" w:rsidRPr="00F100AB">
        <w:rPr>
          <w:b/>
        </w:rPr>
        <w:t xml:space="preserve">; </w:t>
      </w:r>
      <w:r w:rsidR="00F321BC" w:rsidRPr="00F100AB">
        <w:rPr>
          <w:b/>
        </w:rPr>
        <w:t>spre știință,</w:t>
      </w:r>
      <w:r w:rsidR="009E4481" w:rsidRPr="00F100AB">
        <w:rPr>
          <w:b/>
        </w:rPr>
        <w:t xml:space="preserve"> Județului Ialomița și</w:t>
      </w:r>
      <w:r w:rsidR="00AC63EC" w:rsidRPr="00F100AB">
        <w:rPr>
          <w:b/>
        </w:rPr>
        <w:t xml:space="preserve"> Instituției Prefectului </w:t>
      </w:r>
      <w:r w:rsidR="00385DE0" w:rsidRPr="00F100AB">
        <w:rPr>
          <w:b/>
        </w:rPr>
        <w:t xml:space="preserve">- </w:t>
      </w:r>
      <w:r w:rsidR="00AC63EC" w:rsidRPr="00F100AB">
        <w:rPr>
          <w:b/>
        </w:rPr>
        <w:t>Județul Ialomi</w:t>
      </w:r>
      <w:r w:rsidR="00F100AB" w:rsidRPr="00F100AB">
        <w:rPr>
          <w:b/>
        </w:rPr>
        <w:t>ța in vederea exercitarii controlului de legalitate.</w:t>
      </w:r>
    </w:p>
    <w:p w14:paraId="3F3E2FB8" w14:textId="08724D74" w:rsidR="00856C64" w:rsidRDefault="00856C64" w:rsidP="00856C64">
      <w:pPr>
        <w:spacing w:line="276" w:lineRule="auto"/>
        <w:jc w:val="both"/>
        <w:rPr>
          <w:b/>
        </w:rPr>
      </w:pPr>
      <w:r>
        <w:rPr>
          <w:b/>
        </w:rPr>
        <w:t>Prezenta hotarare a fost adoptata cu un numar de 6 voturi pentru , cu un  numar de 0 voturi abtineri, cu un  numar de 0 voturi impotriva, din numarul de 6 consilieri lo</w:t>
      </w:r>
      <w:r w:rsidR="000603D5">
        <w:rPr>
          <w:b/>
        </w:rPr>
        <w:t>cali prezenti la sedinta, din n</w:t>
      </w:r>
      <w:r>
        <w:rPr>
          <w:b/>
        </w:rPr>
        <w:t xml:space="preserve">umarul total de </w:t>
      </w:r>
      <w:r w:rsidR="000603D5">
        <w:rPr>
          <w:b/>
        </w:rPr>
        <w:t>9 consilieri locali in functie.</w:t>
      </w:r>
    </w:p>
    <w:p w14:paraId="0236B960" w14:textId="77777777" w:rsidR="000603D5" w:rsidRDefault="000603D5" w:rsidP="00856C64">
      <w:pPr>
        <w:spacing w:line="276" w:lineRule="auto"/>
        <w:jc w:val="both"/>
        <w:rPr>
          <w:b/>
        </w:rPr>
      </w:pPr>
    </w:p>
    <w:p w14:paraId="241209C0" w14:textId="6DF93C59" w:rsidR="000603D5" w:rsidRDefault="000603D5" w:rsidP="00856C64">
      <w:pPr>
        <w:spacing w:line="276" w:lineRule="auto"/>
        <w:jc w:val="both"/>
        <w:rPr>
          <w:b/>
        </w:rPr>
      </w:pPr>
      <w:r>
        <w:rPr>
          <w:b/>
        </w:rPr>
        <w:t>PRESEDINTE DE SEDINTA                                       CONTRASEMNEAZA</w:t>
      </w:r>
    </w:p>
    <w:p w14:paraId="0DAAD6A5" w14:textId="79841E2C" w:rsidR="000603D5" w:rsidRDefault="000603D5" w:rsidP="00856C64">
      <w:pPr>
        <w:spacing w:line="276" w:lineRule="auto"/>
        <w:jc w:val="both"/>
        <w:rPr>
          <w:b/>
        </w:rPr>
      </w:pPr>
      <w:r>
        <w:rPr>
          <w:b/>
        </w:rPr>
        <w:t>CONSILIER LOCAL                                                     SECRETAR GENERAL</w:t>
      </w:r>
    </w:p>
    <w:p w14:paraId="0D8D1C52" w14:textId="2E16EF99" w:rsidR="000603D5" w:rsidRDefault="000603D5" w:rsidP="00856C64">
      <w:pPr>
        <w:spacing w:line="276" w:lineRule="auto"/>
        <w:jc w:val="both"/>
        <w:rPr>
          <w:b/>
        </w:rPr>
      </w:pPr>
      <w:r>
        <w:rPr>
          <w:b/>
        </w:rPr>
        <w:t>SORESCU MARIAN                                                      IVASCU STEFANA</w:t>
      </w:r>
    </w:p>
    <w:p w14:paraId="5C867A84" w14:textId="77777777" w:rsidR="000603D5" w:rsidRDefault="000603D5" w:rsidP="00856C64">
      <w:pPr>
        <w:spacing w:line="276" w:lineRule="auto"/>
        <w:jc w:val="both"/>
        <w:rPr>
          <w:b/>
        </w:rPr>
      </w:pPr>
    </w:p>
    <w:p w14:paraId="40F28BA9" w14:textId="70D8E7C3" w:rsidR="000603D5" w:rsidRDefault="000603D5" w:rsidP="00856C64">
      <w:pPr>
        <w:spacing w:line="276" w:lineRule="auto"/>
        <w:jc w:val="both"/>
        <w:rPr>
          <w:b/>
        </w:rPr>
      </w:pPr>
      <w:r>
        <w:rPr>
          <w:b/>
        </w:rPr>
        <w:t>Nr.59</w:t>
      </w:r>
    </w:p>
    <w:p w14:paraId="66B60B35" w14:textId="13222CBD" w:rsidR="000603D5" w:rsidRDefault="000603D5" w:rsidP="00856C64">
      <w:pPr>
        <w:spacing w:line="276" w:lineRule="auto"/>
        <w:jc w:val="both"/>
        <w:rPr>
          <w:b/>
        </w:rPr>
      </w:pPr>
      <w:r>
        <w:rPr>
          <w:b/>
        </w:rPr>
        <w:t>Adoptata la Gura Ialomitei</w:t>
      </w:r>
    </w:p>
    <w:p w14:paraId="6505307E" w14:textId="67CA70B5" w:rsidR="000603D5" w:rsidRPr="00F100AB" w:rsidRDefault="000603D5" w:rsidP="00856C64">
      <w:pPr>
        <w:spacing w:line="276" w:lineRule="auto"/>
        <w:jc w:val="both"/>
        <w:rPr>
          <w:b/>
        </w:rPr>
      </w:pPr>
      <w:r>
        <w:rPr>
          <w:b/>
        </w:rPr>
        <w:t>Astazi 26 XI 2025</w:t>
      </w:r>
    </w:p>
    <w:p w14:paraId="0C6AEFF8" w14:textId="77777777" w:rsidR="00F44178" w:rsidRPr="00F100AB" w:rsidRDefault="00F44178" w:rsidP="009555A0">
      <w:pPr>
        <w:spacing w:line="276" w:lineRule="auto"/>
        <w:ind w:firstLine="720"/>
        <w:jc w:val="both"/>
        <w:rPr>
          <w:b/>
        </w:rPr>
      </w:pPr>
    </w:p>
    <w:p w14:paraId="7D84A926" w14:textId="77777777" w:rsidR="00DA11C1" w:rsidRPr="00F100AB" w:rsidRDefault="00DA11C1" w:rsidP="009555A0">
      <w:pPr>
        <w:spacing w:line="276" w:lineRule="auto"/>
        <w:ind w:firstLine="720"/>
        <w:jc w:val="both"/>
        <w:rPr>
          <w:b/>
        </w:rPr>
      </w:pPr>
    </w:p>
    <w:p w14:paraId="655A0F83" w14:textId="77777777" w:rsidR="00376293" w:rsidRPr="00F100AB" w:rsidRDefault="00376293" w:rsidP="009555A0">
      <w:pPr>
        <w:spacing w:line="276" w:lineRule="auto"/>
        <w:ind w:firstLine="720"/>
        <w:jc w:val="both"/>
        <w:rPr>
          <w:b/>
        </w:rPr>
      </w:pPr>
    </w:p>
    <w:tbl>
      <w:tblPr>
        <w:tblW w:w="0" w:type="auto"/>
        <w:tblInd w:w="-342" w:type="dxa"/>
        <w:tblLook w:val="04A0" w:firstRow="1" w:lastRow="0" w:firstColumn="1" w:lastColumn="0" w:noHBand="0" w:noVBand="1"/>
      </w:tblPr>
      <w:tblGrid>
        <w:gridCol w:w="4770"/>
        <w:gridCol w:w="5400"/>
      </w:tblGrid>
      <w:tr w:rsidR="00DA11C1" w:rsidRPr="00F100AB" w14:paraId="1BDB14A3" w14:textId="77777777">
        <w:tc>
          <w:tcPr>
            <w:tcW w:w="4770" w:type="dxa"/>
          </w:tcPr>
          <w:p w14:paraId="0D8C9A40" w14:textId="6FF904E8" w:rsidR="00856C64" w:rsidRPr="00F100AB" w:rsidRDefault="00856C64" w:rsidP="00856C64">
            <w:pPr>
              <w:spacing w:line="276" w:lineRule="auto"/>
              <w:rPr>
                <w:b/>
              </w:rPr>
            </w:pPr>
          </w:p>
        </w:tc>
        <w:tc>
          <w:tcPr>
            <w:tcW w:w="5400" w:type="dxa"/>
          </w:tcPr>
          <w:p w14:paraId="66065440" w14:textId="317DDA5E" w:rsidR="00DA11C1" w:rsidRPr="00F100AB" w:rsidRDefault="00DA11C1" w:rsidP="009555A0">
            <w:pPr>
              <w:keepNext/>
              <w:keepLines/>
              <w:spacing w:before="200" w:line="276" w:lineRule="auto"/>
              <w:ind w:firstLine="720"/>
              <w:jc w:val="center"/>
              <w:outlineLvl w:val="7"/>
              <w:rPr>
                <w:b/>
              </w:rPr>
            </w:pPr>
          </w:p>
        </w:tc>
      </w:tr>
      <w:tr w:rsidR="00DA11C1" w:rsidRPr="00F100AB" w14:paraId="3394D5D3" w14:textId="77777777">
        <w:tc>
          <w:tcPr>
            <w:tcW w:w="4770" w:type="dxa"/>
          </w:tcPr>
          <w:p w14:paraId="4F8CAA26" w14:textId="4C44F1B9" w:rsidR="00DA11C1" w:rsidRPr="00F100AB" w:rsidRDefault="00DA11C1" w:rsidP="00F100AB">
            <w:pPr>
              <w:rPr>
                <w:b/>
              </w:rPr>
            </w:pPr>
          </w:p>
        </w:tc>
        <w:tc>
          <w:tcPr>
            <w:tcW w:w="5400" w:type="dxa"/>
          </w:tcPr>
          <w:p w14:paraId="7362E269" w14:textId="5FD011BA" w:rsidR="00F100AB" w:rsidRPr="00F100AB" w:rsidRDefault="00F100AB" w:rsidP="00F100AB">
            <w:pPr>
              <w:spacing w:line="276" w:lineRule="auto"/>
              <w:rPr>
                <w:b/>
              </w:rPr>
            </w:pPr>
          </w:p>
        </w:tc>
      </w:tr>
    </w:tbl>
    <w:p w14:paraId="6FDBC6E8" w14:textId="6EED0477" w:rsidR="00CA2812" w:rsidRDefault="00CA2812" w:rsidP="00F321BC">
      <w:pPr>
        <w:spacing w:line="276" w:lineRule="auto"/>
        <w:jc w:val="right"/>
        <w:rPr>
          <w:i/>
          <w:iCs/>
          <w:sz w:val="16"/>
          <w:szCs w:val="16"/>
        </w:rPr>
      </w:pPr>
    </w:p>
    <w:sectPr w:rsidR="00CA2812" w:rsidSect="00376293">
      <w:pgSz w:w="12240" w:h="15840"/>
      <w:pgMar w:top="1021" w:right="1021" w:bottom="1021" w:left="1021" w:header="283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541F7" w14:textId="77777777" w:rsidR="00314590" w:rsidRDefault="00314590" w:rsidP="005D31D9">
      <w:r>
        <w:separator/>
      </w:r>
    </w:p>
  </w:endnote>
  <w:endnote w:type="continuationSeparator" w:id="0">
    <w:p w14:paraId="70B9114B" w14:textId="77777777" w:rsidR="00314590" w:rsidRDefault="00314590" w:rsidP="005D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S_Rond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774A2" w14:textId="77777777" w:rsidR="00314590" w:rsidRDefault="00314590" w:rsidP="005D31D9">
      <w:r>
        <w:separator/>
      </w:r>
    </w:p>
  </w:footnote>
  <w:footnote w:type="continuationSeparator" w:id="0">
    <w:p w14:paraId="35B6DD5C" w14:textId="77777777" w:rsidR="00314590" w:rsidRDefault="00314590" w:rsidP="005D3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427"/>
    <w:multiLevelType w:val="hybridMultilevel"/>
    <w:tmpl w:val="E182EADE"/>
    <w:lvl w:ilvl="0" w:tplc="BA4EEFDE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F2B11"/>
    <w:multiLevelType w:val="hybridMultilevel"/>
    <w:tmpl w:val="BB4E13D4"/>
    <w:lvl w:ilvl="0" w:tplc="72B0246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931B8"/>
    <w:multiLevelType w:val="hybridMultilevel"/>
    <w:tmpl w:val="E7763B02"/>
    <w:lvl w:ilvl="0" w:tplc="2B04C430"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4A62659"/>
    <w:multiLevelType w:val="hybridMultilevel"/>
    <w:tmpl w:val="D43A6FBE"/>
    <w:lvl w:ilvl="0" w:tplc="F38264E4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4">
    <w:nsid w:val="2A280C22"/>
    <w:multiLevelType w:val="hybridMultilevel"/>
    <w:tmpl w:val="0928AD42"/>
    <w:lvl w:ilvl="0" w:tplc="71E6FE62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D9B4D35"/>
    <w:multiLevelType w:val="hybridMultilevel"/>
    <w:tmpl w:val="42ECAD5E"/>
    <w:lvl w:ilvl="0" w:tplc="72B02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73EF2"/>
    <w:multiLevelType w:val="hybridMultilevel"/>
    <w:tmpl w:val="29724A4E"/>
    <w:lvl w:ilvl="0" w:tplc="72B02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48"/>
    <w:rsid w:val="00005054"/>
    <w:rsid w:val="00006CE5"/>
    <w:rsid w:val="00007B34"/>
    <w:rsid w:val="00021C8A"/>
    <w:rsid w:val="0003118C"/>
    <w:rsid w:val="00037AC1"/>
    <w:rsid w:val="000503C3"/>
    <w:rsid w:val="000567E3"/>
    <w:rsid w:val="000603D5"/>
    <w:rsid w:val="00061C3F"/>
    <w:rsid w:val="00066963"/>
    <w:rsid w:val="000703F2"/>
    <w:rsid w:val="000807AD"/>
    <w:rsid w:val="00082656"/>
    <w:rsid w:val="00084C99"/>
    <w:rsid w:val="00084E0E"/>
    <w:rsid w:val="0008682A"/>
    <w:rsid w:val="000877D0"/>
    <w:rsid w:val="00091AE0"/>
    <w:rsid w:val="00092840"/>
    <w:rsid w:val="000A3D67"/>
    <w:rsid w:val="00102396"/>
    <w:rsid w:val="0011450D"/>
    <w:rsid w:val="001310FA"/>
    <w:rsid w:val="001360CB"/>
    <w:rsid w:val="00143B88"/>
    <w:rsid w:val="001475AD"/>
    <w:rsid w:val="00154EA6"/>
    <w:rsid w:val="00157F16"/>
    <w:rsid w:val="00166400"/>
    <w:rsid w:val="0017054F"/>
    <w:rsid w:val="00190A20"/>
    <w:rsid w:val="00193CC0"/>
    <w:rsid w:val="001A2709"/>
    <w:rsid w:val="001C7717"/>
    <w:rsid w:val="002144A7"/>
    <w:rsid w:val="00233643"/>
    <w:rsid w:val="00255F73"/>
    <w:rsid w:val="0026118C"/>
    <w:rsid w:val="0028562E"/>
    <w:rsid w:val="00296DE2"/>
    <w:rsid w:val="002B7F00"/>
    <w:rsid w:val="002E2732"/>
    <w:rsid w:val="002E7621"/>
    <w:rsid w:val="002E7C69"/>
    <w:rsid w:val="002F23C9"/>
    <w:rsid w:val="002F6CE6"/>
    <w:rsid w:val="00314590"/>
    <w:rsid w:val="003165E8"/>
    <w:rsid w:val="00321895"/>
    <w:rsid w:val="00335F6E"/>
    <w:rsid w:val="00341608"/>
    <w:rsid w:val="00347566"/>
    <w:rsid w:val="00376293"/>
    <w:rsid w:val="00376B14"/>
    <w:rsid w:val="0038153D"/>
    <w:rsid w:val="00385DE0"/>
    <w:rsid w:val="00390F55"/>
    <w:rsid w:val="003A277F"/>
    <w:rsid w:val="003B1E74"/>
    <w:rsid w:val="003B51C1"/>
    <w:rsid w:val="003B637F"/>
    <w:rsid w:val="003C17C6"/>
    <w:rsid w:val="003D6509"/>
    <w:rsid w:val="003F2AD7"/>
    <w:rsid w:val="00442F8B"/>
    <w:rsid w:val="00451705"/>
    <w:rsid w:val="00452909"/>
    <w:rsid w:val="00457485"/>
    <w:rsid w:val="0047474D"/>
    <w:rsid w:val="004773EC"/>
    <w:rsid w:val="004830D6"/>
    <w:rsid w:val="00495D6A"/>
    <w:rsid w:val="004A0DA7"/>
    <w:rsid w:val="004A2F8C"/>
    <w:rsid w:val="004B3C3D"/>
    <w:rsid w:val="004D205C"/>
    <w:rsid w:val="004D551F"/>
    <w:rsid w:val="00501225"/>
    <w:rsid w:val="00504590"/>
    <w:rsid w:val="00520D22"/>
    <w:rsid w:val="00520F9F"/>
    <w:rsid w:val="00524929"/>
    <w:rsid w:val="00533430"/>
    <w:rsid w:val="0053573A"/>
    <w:rsid w:val="00544250"/>
    <w:rsid w:val="005538AD"/>
    <w:rsid w:val="0055713A"/>
    <w:rsid w:val="005612F8"/>
    <w:rsid w:val="005672EB"/>
    <w:rsid w:val="0057312C"/>
    <w:rsid w:val="00576BED"/>
    <w:rsid w:val="00587E16"/>
    <w:rsid w:val="00591D4D"/>
    <w:rsid w:val="005A42D6"/>
    <w:rsid w:val="005B12C5"/>
    <w:rsid w:val="005C4F4B"/>
    <w:rsid w:val="005D2EC2"/>
    <w:rsid w:val="005D31D9"/>
    <w:rsid w:val="005F0576"/>
    <w:rsid w:val="005F7FA8"/>
    <w:rsid w:val="00600BF6"/>
    <w:rsid w:val="00616488"/>
    <w:rsid w:val="00622577"/>
    <w:rsid w:val="00627DFA"/>
    <w:rsid w:val="00631403"/>
    <w:rsid w:val="006554AC"/>
    <w:rsid w:val="00667869"/>
    <w:rsid w:val="00671B58"/>
    <w:rsid w:val="0067728B"/>
    <w:rsid w:val="00685875"/>
    <w:rsid w:val="006949BA"/>
    <w:rsid w:val="006A5F8C"/>
    <w:rsid w:val="006C1B53"/>
    <w:rsid w:val="006E707A"/>
    <w:rsid w:val="006F4E91"/>
    <w:rsid w:val="006F582B"/>
    <w:rsid w:val="006F645B"/>
    <w:rsid w:val="007021B9"/>
    <w:rsid w:val="00717F81"/>
    <w:rsid w:val="00733147"/>
    <w:rsid w:val="007349E3"/>
    <w:rsid w:val="007438AF"/>
    <w:rsid w:val="007478EC"/>
    <w:rsid w:val="00751F3C"/>
    <w:rsid w:val="00756B70"/>
    <w:rsid w:val="00771668"/>
    <w:rsid w:val="0077429E"/>
    <w:rsid w:val="007836DB"/>
    <w:rsid w:val="007A1038"/>
    <w:rsid w:val="007A3864"/>
    <w:rsid w:val="007C3C68"/>
    <w:rsid w:val="007F18FA"/>
    <w:rsid w:val="007F74EB"/>
    <w:rsid w:val="007F7A5B"/>
    <w:rsid w:val="007F7E4C"/>
    <w:rsid w:val="00800FD4"/>
    <w:rsid w:val="00801348"/>
    <w:rsid w:val="008105DD"/>
    <w:rsid w:val="0082487A"/>
    <w:rsid w:val="008333C7"/>
    <w:rsid w:val="008369EB"/>
    <w:rsid w:val="008471CF"/>
    <w:rsid w:val="00856C64"/>
    <w:rsid w:val="00877600"/>
    <w:rsid w:val="008A563F"/>
    <w:rsid w:val="008A5E36"/>
    <w:rsid w:val="008B386C"/>
    <w:rsid w:val="008C04DA"/>
    <w:rsid w:val="008C1FA4"/>
    <w:rsid w:val="008C45EE"/>
    <w:rsid w:val="008C52D8"/>
    <w:rsid w:val="008C5C3E"/>
    <w:rsid w:val="008D08E0"/>
    <w:rsid w:val="008E0B97"/>
    <w:rsid w:val="008E4F91"/>
    <w:rsid w:val="008F2314"/>
    <w:rsid w:val="008F2C08"/>
    <w:rsid w:val="0092165A"/>
    <w:rsid w:val="009305FD"/>
    <w:rsid w:val="00937E17"/>
    <w:rsid w:val="009405C2"/>
    <w:rsid w:val="00943431"/>
    <w:rsid w:val="00946670"/>
    <w:rsid w:val="009551DC"/>
    <w:rsid w:val="009555A0"/>
    <w:rsid w:val="0096191D"/>
    <w:rsid w:val="00965AA2"/>
    <w:rsid w:val="0097056A"/>
    <w:rsid w:val="00972830"/>
    <w:rsid w:val="00972A35"/>
    <w:rsid w:val="009931F0"/>
    <w:rsid w:val="009934C5"/>
    <w:rsid w:val="009A1E89"/>
    <w:rsid w:val="009B3E48"/>
    <w:rsid w:val="009C3D0E"/>
    <w:rsid w:val="009D5B26"/>
    <w:rsid w:val="009D767E"/>
    <w:rsid w:val="009E100D"/>
    <w:rsid w:val="009E1841"/>
    <w:rsid w:val="009E4481"/>
    <w:rsid w:val="009F0754"/>
    <w:rsid w:val="00A04169"/>
    <w:rsid w:val="00A05863"/>
    <w:rsid w:val="00A059F7"/>
    <w:rsid w:val="00A12203"/>
    <w:rsid w:val="00A16A50"/>
    <w:rsid w:val="00A26EBF"/>
    <w:rsid w:val="00A27A98"/>
    <w:rsid w:val="00A40A02"/>
    <w:rsid w:val="00A5039F"/>
    <w:rsid w:val="00A54CEF"/>
    <w:rsid w:val="00A748C9"/>
    <w:rsid w:val="00A96D65"/>
    <w:rsid w:val="00AB6AAB"/>
    <w:rsid w:val="00AC0C0B"/>
    <w:rsid w:val="00AC63EC"/>
    <w:rsid w:val="00AD75DF"/>
    <w:rsid w:val="00AE3F36"/>
    <w:rsid w:val="00B17F5E"/>
    <w:rsid w:val="00B347AB"/>
    <w:rsid w:val="00B3750B"/>
    <w:rsid w:val="00B446E6"/>
    <w:rsid w:val="00B470F3"/>
    <w:rsid w:val="00B50552"/>
    <w:rsid w:val="00B51882"/>
    <w:rsid w:val="00B53FA6"/>
    <w:rsid w:val="00B556D0"/>
    <w:rsid w:val="00B65A99"/>
    <w:rsid w:val="00B660BD"/>
    <w:rsid w:val="00B66417"/>
    <w:rsid w:val="00B67B3E"/>
    <w:rsid w:val="00B82AED"/>
    <w:rsid w:val="00B863C2"/>
    <w:rsid w:val="00B87684"/>
    <w:rsid w:val="00B95466"/>
    <w:rsid w:val="00B96532"/>
    <w:rsid w:val="00B97B3E"/>
    <w:rsid w:val="00BA2588"/>
    <w:rsid w:val="00BA2A1B"/>
    <w:rsid w:val="00BA5A3F"/>
    <w:rsid w:val="00BB302B"/>
    <w:rsid w:val="00BC4EA9"/>
    <w:rsid w:val="00BE059B"/>
    <w:rsid w:val="00BE12BE"/>
    <w:rsid w:val="00BE134B"/>
    <w:rsid w:val="00C01599"/>
    <w:rsid w:val="00C02779"/>
    <w:rsid w:val="00C06DF5"/>
    <w:rsid w:val="00C11729"/>
    <w:rsid w:val="00C1174A"/>
    <w:rsid w:val="00C1394C"/>
    <w:rsid w:val="00C13E83"/>
    <w:rsid w:val="00C17A5C"/>
    <w:rsid w:val="00C22089"/>
    <w:rsid w:val="00C35B78"/>
    <w:rsid w:val="00C36DC6"/>
    <w:rsid w:val="00C45FB9"/>
    <w:rsid w:val="00C50514"/>
    <w:rsid w:val="00C572D0"/>
    <w:rsid w:val="00C60C0F"/>
    <w:rsid w:val="00C66F69"/>
    <w:rsid w:val="00C76F84"/>
    <w:rsid w:val="00C84B6E"/>
    <w:rsid w:val="00C870B5"/>
    <w:rsid w:val="00CA2812"/>
    <w:rsid w:val="00CA32C8"/>
    <w:rsid w:val="00CA6B5B"/>
    <w:rsid w:val="00CC53A2"/>
    <w:rsid w:val="00CD2B9F"/>
    <w:rsid w:val="00CD78C6"/>
    <w:rsid w:val="00D0601D"/>
    <w:rsid w:val="00D13E37"/>
    <w:rsid w:val="00D2044F"/>
    <w:rsid w:val="00D47D24"/>
    <w:rsid w:val="00D50599"/>
    <w:rsid w:val="00D53B2B"/>
    <w:rsid w:val="00D65E8E"/>
    <w:rsid w:val="00D75574"/>
    <w:rsid w:val="00D92057"/>
    <w:rsid w:val="00DA11C1"/>
    <w:rsid w:val="00DA5C22"/>
    <w:rsid w:val="00DD771F"/>
    <w:rsid w:val="00DE1375"/>
    <w:rsid w:val="00DE6167"/>
    <w:rsid w:val="00DF0C02"/>
    <w:rsid w:val="00DF303E"/>
    <w:rsid w:val="00DF53A8"/>
    <w:rsid w:val="00DF5E65"/>
    <w:rsid w:val="00E15286"/>
    <w:rsid w:val="00E15C06"/>
    <w:rsid w:val="00E20AC5"/>
    <w:rsid w:val="00E22250"/>
    <w:rsid w:val="00E27400"/>
    <w:rsid w:val="00E326F6"/>
    <w:rsid w:val="00E35509"/>
    <w:rsid w:val="00E403AD"/>
    <w:rsid w:val="00E40D5A"/>
    <w:rsid w:val="00E5661E"/>
    <w:rsid w:val="00E63F1D"/>
    <w:rsid w:val="00E763D2"/>
    <w:rsid w:val="00E8082D"/>
    <w:rsid w:val="00E80DCA"/>
    <w:rsid w:val="00E87D87"/>
    <w:rsid w:val="00E936B5"/>
    <w:rsid w:val="00EC3CAB"/>
    <w:rsid w:val="00ED26CD"/>
    <w:rsid w:val="00EE04D2"/>
    <w:rsid w:val="00EF5240"/>
    <w:rsid w:val="00F00820"/>
    <w:rsid w:val="00F02052"/>
    <w:rsid w:val="00F036E7"/>
    <w:rsid w:val="00F100AB"/>
    <w:rsid w:val="00F254C6"/>
    <w:rsid w:val="00F321BC"/>
    <w:rsid w:val="00F37F7A"/>
    <w:rsid w:val="00F42D18"/>
    <w:rsid w:val="00F44178"/>
    <w:rsid w:val="00F45013"/>
    <w:rsid w:val="00F477E1"/>
    <w:rsid w:val="00F76FC3"/>
    <w:rsid w:val="00F93998"/>
    <w:rsid w:val="00FC3377"/>
    <w:rsid w:val="00FC469B"/>
    <w:rsid w:val="00FF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CDFC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082D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6E70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6">
    <w:name w:val="heading 6"/>
    <w:basedOn w:val="Normal"/>
    <w:next w:val="Normal"/>
    <w:qFormat/>
    <w:rsid w:val="008D08E0"/>
    <w:pPr>
      <w:spacing w:before="240" w:after="60"/>
      <w:outlineLvl w:val="5"/>
    </w:pPr>
    <w:rPr>
      <w:b/>
      <w:bCs/>
      <w:sz w:val="22"/>
      <w:szCs w:val="22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928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D31D9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rsid w:val="005D31D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D31D9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5D31D9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6E707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lainText">
    <w:name w:val="Plain Text"/>
    <w:basedOn w:val="Normal"/>
    <w:link w:val="PlainTextChar"/>
    <w:uiPriority w:val="99"/>
    <w:rsid w:val="005612F8"/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link w:val="PlainText"/>
    <w:uiPriority w:val="99"/>
    <w:rsid w:val="005612F8"/>
    <w:rPr>
      <w:rFonts w:ascii="Consolas" w:hAnsi="Consolas" w:cs="Consolas"/>
      <w:sz w:val="21"/>
      <w:szCs w:val="21"/>
      <w:lang w:val="en-US" w:eastAsia="en-US"/>
    </w:rPr>
  </w:style>
  <w:style w:type="table" w:styleId="TableGrid">
    <w:name w:val="Table Grid"/>
    <w:basedOn w:val="TableNormal"/>
    <w:rsid w:val="005612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B65A99"/>
    <w:rPr>
      <w:lang w:val="pl-PL" w:eastAsia="pl-PL"/>
    </w:rPr>
  </w:style>
  <w:style w:type="paragraph" w:styleId="BodyTextIndent">
    <w:name w:val="Body Text Indent"/>
    <w:basedOn w:val="Normal"/>
    <w:link w:val="BodyTextIndentChar"/>
    <w:unhideWhenUsed/>
    <w:rsid w:val="008C52D8"/>
    <w:pPr>
      <w:ind w:firstLine="720"/>
      <w:jc w:val="both"/>
    </w:pPr>
    <w:rPr>
      <w:rFonts w:ascii="HS_Rond" w:hAnsi="HS_Rond"/>
      <w:i/>
      <w:color w:val="000000"/>
      <w:sz w:val="28"/>
      <w:szCs w:val="20"/>
      <w:lang w:val="x-none"/>
    </w:rPr>
  </w:style>
  <w:style w:type="character" w:customStyle="1" w:styleId="BodyTextIndentChar">
    <w:name w:val="Body Text Indent Char"/>
    <w:link w:val="BodyTextIndent"/>
    <w:rsid w:val="008C52D8"/>
    <w:rPr>
      <w:rFonts w:ascii="HS_Rond" w:hAnsi="HS_Rond"/>
      <w:i/>
      <w:color w:val="000000"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007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082D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6E70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6">
    <w:name w:val="heading 6"/>
    <w:basedOn w:val="Normal"/>
    <w:next w:val="Normal"/>
    <w:qFormat/>
    <w:rsid w:val="008D08E0"/>
    <w:pPr>
      <w:spacing w:before="240" w:after="60"/>
      <w:outlineLvl w:val="5"/>
    </w:pPr>
    <w:rPr>
      <w:b/>
      <w:bCs/>
      <w:sz w:val="22"/>
      <w:szCs w:val="22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928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D31D9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rsid w:val="005D31D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D31D9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5D31D9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6E707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lainText">
    <w:name w:val="Plain Text"/>
    <w:basedOn w:val="Normal"/>
    <w:link w:val="PlainTextChar"/>
    <w:uiPriority w:val="99"/>
    <w:rsid w:val="005612F8"/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link w:val="PlainText"/>
    <w:uiPriority w:val="99"/>
    <w:rsid w:val="005612F8"/>
    <w:rPr>
      <w:rFonts w:ascii="Consolas" w:hAnsi="Consolas" w:cs="Consolas"/>
      <w:sz w:val="21"/>
      <w:szCs w:val="21"/>
      <w:lang w:val="en-US" w:eastAsia="en-US"/>
    </w:rPr>
  </w:style>
  <w:style w:type="table" w:styleId="TableGrid">
    <w:name w:val="Table Grid"/>
    <w:basedOn w:val="TableNormal"/>
    <w:rsid w:val="005612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B65A99"/>
    <w:rPr>
      <w:lang w:val="pl-PL" w:eastAsia="pl-PL"/>
    </w:rPr>
  </w:style>
  <w:style w:type="paragraph" w:styleId="BodyTextIndent">
    <w:name w:val="Body Text Indent"/>
    <w:basedOn w:val="Normal"/>
    <w:link w:val="BodyTextIndentChar"/>
    <w:unhideWhenUsed/>
    <w:rsid w:val="008C52D8"/>
    <w:pPr>
      <w:ind w:firstLine="720"/>
      <w:jc w:val="both"/>
    </w:pPr>
    <w:rPr>
      <w:rFonts w:ascii="HS_Rond" w:hAnsi="HS_Rond"/>
      <w:i/>
      <w:color w:val="000000"/>
      <w:sz w:val="28"/>
      <w:szCs w:val="20"/>
      <w:lang w:val="x-none"/>
    </w:rPr>
  </w:style>
  <w:style w:type="character" w:customStyle="1" w:styleId="BodyTextIndentChar">
    <w:name w:val="Body Text Indent Char"/>
    <w:link w:val="BodyTextIndent"/>
    <w:rsid w:val="008C52D8"/>
    <w:rPr>
      <w:rFonts w:ascii="HS_Rond" w:hAnsi="HS_Rond"/>
      <w:i/>
      <w:color w:val="000000"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007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1106</Words>
  <Characters>6308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HOTARARE</vt:lpstr>
      <vt:lpstr>HOTARARE</vt:lpstr>
    </vt:vector>
  </TitlesOfParts>
  <Company>cji</Company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HOTARARE</dc:title>
  <dc:creator>vicepresedinte visinescu</dc:creator>
  <cp:lastModifiedBy>Papacioc Antoniu</cp:lastModifiedBy>
  <cp:revision>8</cp:revision>
  <cp:lastPrinted>2025-12-03T11:53:00Z</cp:lastPrinted>
  <dcterms:created xsi:type="dcterms:W3CDTF">2025-12-03T11:12:00Z</dcterms:created>
  <dcterms:modified xsi:type="dcterms:W3CDTF">2025-12-03T12:12:00Z</dcterms:modified>
</cp:coreProperties>
</file>