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495120">
        <w:rPr>
          <w:b/>
          <w:sz w:val="20"/>
          <w:szCs w:val="20"/>
          <w:lang w:eastAsia="ro-RO"/>
        </w:rPr>
        <w:t>oamnei ANTON GRECU ALEXANDRU</w:t>
      </w:r>
      <w:r w:rsidR="00297F0F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8450C2">
        <w:rPr>
          <w:rFonts w:eastAsia="Times New Roman"/>
          <w:b/>
          <w:i/>
          <w:sz w:val="20"/>
          <w:szCs w:val="20"/>
          <w:lang w:eastAsia="ro-RO"/>
        </w:rPr>
        <w:t>in teren  nr. 320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/29 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lui   ANTON GRECU ALEXANDRU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 1770314093432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DispozitiIile nr 147/31 01 2024, nr. 312/29 03 2024, nr. 83/23 01 2025, nr 287/31 03 2025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acestuia, respectiv 528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i/lună, pentru un număr de 2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FE14EB">
        <w:rPr>
          <w:rFonts w:eastAsia="Times New Roman"/>
          <w:b/>
          <w:bCs/>
          <w:sz w:val="20"/>
          <w:szCs w:val="20"/>
          <w:lang w:eastAsia="ro-RO"/>
        </w:rPr>
        <w:t>lia cu copii în cuantum de  0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cuantum de 528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2" w:name="ref%2523A2"/>
      <w:bookmarkStart w:id="3" w:name="tree%252370"/>
      <w:bookmarkEnd w:id="1"/>
      <w:bookmarkEnd w:id="2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4" w:name="tree%252373"/>
      <w:bookmarkEnd w:id="3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 xml:space="preserve">Serviciul public de asistență </w:t>
      </w:r>
      <w:r w:rsidRPr="006D1324">
        <w:rPr>
          <w:b/>
          <w:i/>
          <w:iCs/>
          <w:sz w:val="20"/>
          <w:szCs w:val="20"/>
        </w:rPr>
        <w:lastRenderedPageBreak/>
        <w:t>socială</w:t>
      </w:r>
      <w:r w:rsidRPr="006D1324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A910FD">
        <w:rPr>
          <w:b/>
          <w:sz w:val="20"/>
          <w:szCs w:val="20"/>
        </w:rPr>
        <w:t>22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5"/>
      <w:bookmarkEnd w:id="6"/>
      <w:bookmarkEnd w:id="7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A910FD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Nr.15</w:t>
      </w:r>
      <w:bookmarkStart w:id="8" w:name="_GoBack"/>
      <w:bookmarkEnd w:id="8"/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16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A910FD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202899"/>
    <w:rsid w:val="002632F6"/>
    <w:rsid w:val="00297F0F"/>
    <w:rsid w:val="002F5EA5"/>
    <w:rsid w:val="0037010B"/>
    <w:rsid w:val="00371992"/>
    <w:rsid w:val="003B1DA9"/>
    <w:rsid w:val="003E5438"/>
    <w:rsid w:val="00413A90"/>
    <w:rsid w:val="00484885"/>
    <w:rsid w:val="00495120"/>
    <w:rsid w:val="004C34C1"/>
    <w:rsid w:val="004F0117"/>
    <w:rsid w:val="00521F2D"/>
    <w:rsid w:val="005976B9"/>
    <w:rsid w:val="005E692B"/>
    <w:rsid w:val="006472AD"/>
    <w:rsid w:val="0069174B"/>
    <w:rsid w:val="006D1324"/>
    <w:rsid w:val="0070755C"/>
    <w:rsid w:val="00733F16"/>
    <w:rsid w:val="00797DDA"/>
    <w:rsid w:val="00797EFA"/>
    <w:rsid w:val="0082655C"/>
    <w:rsid w:val="008450C2"/>
    <w:rsid w:val="00893D1B"/>
    <w:rsid w:val="00904211"/>
    <w:rsid w:val="00934675"/>
    <w:rsid w:val="009A28A5"/>
    <w:rsid w:val="00A604E4"/>
    <w:rsid w:val="00A75164"/>
    <w:rsid w:val="00A910FD"/>
    <w:rsid w:val="00AC06E4"/>
    <w:rsid w:val="00B96FFA"/>
    <w:rsid w:val="00BE347D"/>
    <w:rsid w:val="00C012D1"/>
    <w:rsid w:val="00C0503A"/>
    <w:rsid w:val="00CC7D62"/>
    <w:rsid w:val="00D24E27"/>
    <w:rsid w:val="00DA4F99"/>
    <w:rsid w:val="00EA7780"/>
    <w:rsid w:val="00EF119F"/>
    <w:rsid w:val="00EF6EAB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7645-BB10-492A-9855-89909FC3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2026-01-16T07:50:00Z</cp:lastPrinted>
  <dcterms:created xsi:type="dcterms:W3CDTF">2026-01-16T07:54:00Z</dcterms:created>
  <dcterms:modified xsi:type="dcterms:W3CDTF">2026-01-16T08:00:00Z</dcterms:modified>
</cp:coreProperties>
</file>