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C027E" w14:textId="77777777" w:rsidR="00B05B62" w:rsidRDefault="00B05B62">
      <w:pPr>
        <w:spacing w:before="300"/>
      </w:pPr>
    </w:p>
    <w:p w14:paraId="1476BB8E" w14:textId="77777777" w:rsidR="00B05B62" w:rsidRDefault="00B05B62">
      <w:pPr>
        <w:pageBreakBefore/>
      </w:pPr>
      <w:bookmarkStart w:id="0" w:name="_GoBack"/>
      <w:bookmarkEnd w:id="0"/>
    </w:p>
    <w:p w14:paraId="2A05F6A7" w14:textId="77777777" w:rsidR="00B05B62" w:rsidRDefault="00F87721">
      <w:pPr>
        <w:jc w:val="center"/>
      </w:pPr>
      <w:r>
        <w:rPr>
          <w:b/>
          <w:bCs/>
        </w:rPr>
        <w:t>ROMÂNIA</w:t>
      </w:r>
    </w:p>
    <w:p w14:paraId="41D423C2" w14:textId="77777777" w:rsidR="00B05B62" w:rsidRDefault="00F87721">
      <w:pPr>
        <w:jc w:val="center"/>
      </w:pPr>
      <w:r>
        <w:rPr>
          <w:b/>
          <w:bCs/>
        </w:rPr>
        <w:t>JUDEȚUL IALOMIȚA</w:t>
      </w:r>
    </w:p>
    <w:p w14:paraId="026CA112" w14:textId="77777777" w:rsidR="00B05B62" w:rsidRDefault="00F87721">
      <w:pPr>
        <w:jc w:val="center"/>
      </w:pPr>
      <w:r>
        <w:rPr>
          <w:b/>
          <w:bCs/>
        </w:rPr>
        <w:t>COMUNA GURA IALOMIȚEI</w:t>
      </w:r>
    </w:p>
    <w:p w14:paraId="1C6BEFFB" w14:textId="608BCA8F" w:rsidR="00B05B62" w:rsidRDefault="00A61202">
      <w:pPr>
        <w:spacing w:before="60" w:after="60"/>
        <w:jc w:val="center"/>
      </w:pPr>
      <w:r>
        <w:rPr>
          <w:b/>
          <w:bCs/>
        </w:rPr>
        <w:t>PRIMAR</w:t>
      </w:r>
    </w:p>
    <w:p w14:paraId="73E22BC0" w14:textId="77777777" w:rsidR="00B05B62" w:rsidRDefault="00B05B62">
      <w:pPr>
        <w:pBdr>
          <w:bottom w:val="single" w:sz="6" w:space="0" w:color="000000"/>
        </w:pBdr>
        <w:spacing w:before="80" w:after="80"/>
      </w:pPr>
    </w:p>
    <w:p w14:paraId="46B5651A" w14:textId="77777777" w:rsidR="00B05B62" w:rsidRDefault="00B05B62">
      <w:pPr>
        <w:spacing w:before="200"/>
      </w:pPr>
    </w:p>
    <w:p w14:paraId="37F47621" w14:textId="4A0629CF" w:rsidR="00B05B62" w:rsidRDefault="00A61202">
      <w:pPr>
        <w:spacing w:before="60" w:after="60"/>
        <w:jc w:val="center"/>
      </w:pPr>
      <w:r>
        <w:rPr>
          <w:b/>
          <w:bCs/>
          <w:sz w:val="24"/>
          <w:szCs w:val="24"/>
        </w:rPr>
        <w:t>PROIECT DE HOTĂRÂRE</w:t>
      </w:r>
    </w:p>
    <w:p w14:paraId="3864A81B" w14:textId="77777777" w:rsidR="00B05B62" w:rsidRDefault="00B05B62">
      <w:pPr>
        <w:spacing w:before="80"/>
      </w:pPr>
    </w:p>
    <w:p w14:paraId="0891DEAA" w14:textId="77777777" w:rsidR="00B05B62" w:rsidRDefault="00F87721">
      <w:pPr>
        <w:spacing w:before="60" w:after="60"/>
        <w:jc w:val="center"/>
      </w:pPr>
      <w:r>
        <w:rPr>
          <w:b/>
          <w:bCs/>
        </w:rPr>
        <w:t>privind aprobarea documentației tehnico-economice și a indicatorilor tehnico-economici pentru obiectivul de investiții „CONSTRUIRE TEREN MULTISPORT (40m x 20m) CU GAZON SINTETIC” în Comuna Gura Ialomiței, județul Ialomița</w:t>
      </w:r>
    </w:p>
    <w:p w14:paraId="16E3E74B" w14:textId="01D191D2" w:rsidR="00B05B62" w:rsidRDefault="00A61202">
      <w:pPr>
        <w:spacing w:before="80"/>
      </w:pPr>
      <w:r>
        <w:t>Primarul comunei Gura Ialomitei, judetul Ialomita;</w:t>
      </w:r>
    </w:p>
    <w:p w14:paraId="452399D6" w14:textId="5AAEA5B7" w:rsidR="00A61202" w:rsidRDefault="00A61202">
      <w:pPr>
        <w:spacing w:before="80"/>
      </w:pPr>
      <w:r>
        <w:t>Avand in vedere;</w:t>
      </w:r>
    </w:p>
    <w:p w14:paraId="7D6A01D7" w14:textId="66D59934" w:rsidR="00A61202" w:rsidRDefault="00A61202">
      <w:pPr>
        <w:spacing w:before="80"/>
      </w:pPr>
      <w:r>
        <w:t>-REFERAT DE SPECIALITATE NR. 2497/11 06 2026;</w:t>
      </w:r>
    </w:p>
    <w:p w14:paraId="67642FA5" w14:textId="77777777" w:rsidR="00B05B62" w:rsidRDefault="00F87721">
      <w:pPr>
        <w:spacing w:before="60" w:after="60"/>
        <w:ind w:left="360"/>
        <w:jc w:val="both"/>
      </w:pPr>
      <w:r>
        <w:t>— Devizul general al obiectivului de investiții, întocmit de ing. Teoctist Teodor Arapasu, la data de 13.05.2026, beneficiar/investitor: Comuna Gura Ialomiței, județul Ialomița;</w:t>
      </w:r>
    </w:p>
    <w:p w14:paraId="0984CCB3" w14:textId="77777777" w:rsidR="00B05B62" w:rsidRDefault="00B05B62">
      <w:pPr>
        <w:spacing w:before="80"/>
      </w:pPr>
    </w:p>
    <w:p w14:paraId="342E3282" w14:textId="77777777" w:rsidR="00A61202" w:rsidRDefault="00A61202">
      <w:pPr>
        <w:spacing w:before="60" w:after="60"/>
        <w:ind w:left="360"/>
        <w:jc w:val="both"/>
      </w:pPr>
      <w:r>
        <w:t xml:space="preserve">In conformitate </w:t>
      </w:r>
    </w:p>
    <w:p w14:paraId="0C827496" w14:textId="6B5483DC" w:rsidR="00B05B62" w:rsidRDefault="00F87721">
      <w:pPr>
        <w:spacing w:before="60" w:after="60"/>
        <w:ind w:left="360"/>
        <w:jc w:val="both"/>
      </w:pPr>
      <w:r>
        <w:t>— prevederile art. 44 alin. (1) din Legea nr. 273/2006 privind finanțele publice locale, cu modificările și completările ulterioare;</w:t>
      </w:r>
    </w:p>
    <w:p w14:paraId="03BF441C" w14:textId="77777777" w:rsidR="00B05B62" w:rsidRDefault="00F87721">
      <w:pPr>
        <w:spacing w:before="60" w:after="60"/>
        <w:ind w:left="360"/>
        <w:jc w:val="both"/>
      </w:pPr>
      <w:r>
        <w:t>— prevederile HG nr. 907/2016 privind etapele de elaborare și conținutul-cadru al documentațiilor tehnico-economice aferente obiectivelor/proiectelor de investiții finanțate din fonduri publice;</w:t>
      </w:r>
    </w:p>
    <w:p w14:paraId="5BA4A0B1" w14:textId="77777777" w:rsidR="00B05B62" w:rsidRDefault="00F87721">
      <w:pPr>
        <w:spacing w:before="60" w:after="60"/>
        <w:ind w:left="360"/>
        <w:jc w:val="both"/>
      </w:pPr>
      <w:r>
        <w:t>— prevederile art. 129 alin. (2) lit. b) și alin. (4) lit. d) din OUG nr. 57/2019 privind Codul administrativ, cu modificările și completările ulterioare;</w:t>
      </w:r>
    </w:p>
    <w:p w14:paraId="55B57AD2" w14:textId="77777777" w:rsidR="00B05B62" w:rsidRDefault="00B05B62">
      <w:pPr>
        <w:spacing w:before="80"/>
      </w:pPr>
    </w:p>
    <w:p w14:paraId="2E359FEF" w14:textId="46D28DF9" w:rsidR="00B05B62" w:rsidRDefault="00F87721">
      <w:pPr>
        <w:spacing w:before="60" w:after="60"/>
        <w:jc w:val="both"/>
      </w:pPr>
      <w:r>
        <w:t>În temeiul art. 139 alin. (3) lit. e) din OUG nr. 57/2019 privind Codul administrativ, cu modificările și completările ulterioare,</w:t>
      </w:r>
    </w:p>
    <w:p w14:paraId="5A455EE7" w14:textId="77777777" w:rsidR="00B05B62" w:rsidRDefault="00B05B62">
      <w:pPr>
        <w:spacing w:before="120"/>
      </w:pPr>
    </w:p>
    <w:p w14:paraId="32569DE8" w14:textId="27F1AC41" w:rsidR="00B05B62" w:rsidRDefault="00A61202">
      <w:pPr>
        <w:spacing w:before="60" w:after="60"/>
        <w:jc w:val="center"/>
      </w:pPr>
      <w:r>
        <w:rPr>
          <w:b/>
          <w:bCs/>
          <w:sz w:val="24"/>
          <w:szCs w:val="24"/>
        </w:rPr>
        <w:t>PROPUNE</w:t>
      </w:r>
      <w:r w:rsidR="00F87721">
        <w:rPr>
          <w:b/>
          <w:bCs/>
          <w:sz w:val="24"/>
          <w:szCs w:val="24"/>
        </w:rPr>
        <w:t xml:space="preserve"> :</w:t>
      </w:r>
    </w:p>
    <w:p w14:paraId="3FF4ACE4" w14:textId="77777777" w:rsidR="00B05B62" w:rsidRDefault="00B05B62">
      <w:pPr>
        <w:spacing w:before="120"/>
      </w:pPr>
    </w:p>
    <w:p w14:paraId="289977FA" w14:textId="77777777" w:rsidR="00B05B62" w:rsidRDefault="00F87721">
      <w:pPr>
        <w:spacing w:before="60" w:after="60"/>
        <w:jc w:val="both"/>
      </w:pPr>
      <w:r>
        <w:t>Art. 1. Se aprobă documentația tehnico-economică pentru obiectivul de investiții „Construire Teren Multisport (40m x 20m) cu Gazon Sintetic” în Comuna Gura Ialomiței, județul Ialomița, cu următorii indicatori tehnico-economici:</w:t>
      </w:r>
    </w:p>
    <w:p w14:paraId="229C80CC" w14:textId="77777777" w:rsidR="00B05B62" w:rsidRDefault="00B05B62">
      <w:pPr>
        <w:spacing w:before="60"/>
      </w:pP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02"/>
        <w:gridCol w:w="1481"/>
        <w:gridCol w:w="1336"/>
        <w:gridCol w:w="1481"/>
      </w:tblGrid>
      <w:tr w:rsidR="00B05B62" w14:paraId="32CB772E" w14:textId="77777777">
        <w:trPr>
          <w:tblHeader/>
        </w:trPr>
        <w:tc>
          <w:tcPr>
            <w:tcW w:w="0" w:type="auto"/>
            <w:tcBorders>
              <w:top w:val="single" w:sz="4" w:space="0" w:color="1F3864"/>
              <w:left w:val="single" w:sz="4" w:space="0" w:color="1F3864"/>
              <w:bottom w:val="single" w:sz="4" w:space="0" w:color="1F3864"/>
              <w:right w:val="single" w:sz="4" w:space="0" w:color="1F3864"/>
            </w:tcBorders>
            <w:shd w:val="clear" w:color="auto" w:fill="1F3864"/>
            <w:tcMar>
              <w:top w:w="60" w:type="dxa"/>
              <w:left w:w="120" w:type="dxa"/>
              <w:bottom w:w="60" w:type="dxa"/>
              <w:right w:w="120" w:type="dxa"/>
            </w:tcMar>
          </w:tcPr>
          <w:p w14:paraId="6905D6D1" w14:textId="77777777" w:rsidR="00B05B62" w:rsidRDefault="00F87721">
            <w:pPr>
              <w:jc w:val="center"/>
            </w:pPr>
            <w:r>
              <w:rPr>
                <w:b/>
                <w:bCs/>
                <w:color w:val="FFFFFF"/>
                <w:sz w:val="20"/>
                <w:szCs w:val="20"/>
              </w:rPr>
              <w:t>Indicator</w:t>
            </w:r>
          </w:p>
        </w:tc>
        <w:tc>
          <w:tcPr>
            <w:tcW w:w="0" w:type="auto"/>
            <w:tcBorders>
              <w:top w:val="single" w:sz="4" w:space="0" w:color="1F3864"/>
              <w:left w:val="single" w:sz="4" w:space="0" w:color="1F3864"/>
              <w:bottom w:val="single" w:sz="4" w:space="0" w:color="1F3864"/>
              <w:right w:val="single" w:sz="4" w:space="0" w:color="1F3864"/>
            </w:tcBorders>
            <w:shd w:val="clear" w:color="auto" w:fill="1F3864"/>
            <w:tcMar>
              <w:top w:w="60" w:type="dxa"/>
              <w:left w:w="60" w:type="dxa"/>
              <w:bottom w:w="60" w:type="dxa"/>
              <w:right w:w="60" w:type="dxa"/>
            </w:tcMar>
          </w:tcPr>
          <w:p w14:paraId="200EFF6C" w14:textId="77777777" w:rsidR="00B05B62" w:rsidRDefault="00F87721">
            <w:pPr>
              <w:jc w:val="center"/>
            </w:pPr>
            <w:r>
              <w:rPr>
                <w:b/>
                <w:bCs/>
                <w:color w:val="FFFFFF"/>
                <w:sz w:val="20"/>
                <w:szCs w:val="20"/>
              </w:rPr>
              <w:t>Fără TVA</w:t>
            </w:r>
          </w:p>
        </w:tc>
        <w:tc>
          <w:tcPr>
            <w:tcW w:w="0" w:type="auto"/>
            <w:tcBorders>
              <w:top w:val="single" w:sz="4" w:space="0" w:color="1F3864"/>
              <w:left w:val="single" w:sz="4" w:space="0" w:color="1F3864"/>
              <w:bottom w:val="single" w:sz="4" w:space="0" w:color="1F3864"/>
              <w:right w:val="single" w:sz="4" w:space="0" w:color="1F3864"/>
            </w:tcBorders>
            <w:shd w:val="clear" w:color="auto" w:fill="1F3864"/>
            <w:tcMar>
              <w:top w:w="60" w:type="dxa"/>
              <w:left w:w="60" w:type="dxa"/>
              <w:bottom w:w="60" w:type="dxa"/>
              <w:right w:w="60" w:type="dxa"/>
            </w:tcMar>
          </w:tcPr>
          <w:p w14:paraId="7A69907F" w14:textId="77777777" w:rsidR="00B05B62" w:rsidRDefault="00F87721">
            <w:pPr>
              <w:jc w:val="center"/>
            </w:pPr>
            <w:r>
              <w:rPr>
                <w:b/>
                <w:bCs/>
                <w:color w:val="FFFFFF"/>
                <w:sz w:val="20"/>
                <w:szCs w:val="20"/>
              </w:rPr>
              <w:t>TVA</w:t>
            </w:r>
          </w:p>
        </w:tc>
        <w:tc>
          <w:tcPr>
            <w:tcW w:w="0" w:type="auto"/>
            <w:tcBorders>
              <w:top w:val="single" w:sz="4" w:space="0" w:color="1F3864"/>
              <w:left w:val="single" w:sz="4" w:space="0" w:color="1F3864"/>
              <w:bottom w:val="single" w:sz="4" w:space="0" w:color="1F3864"/>
              <w:right w:val="single" w:sz="4" w:space="0" w:color="1F3864"/>
            </w:tcBorders>
            <w:shd w:val="clear" w:color="auto" w:fill="1F3864"/>
            <w:tcMar>
              <w:top w:w="60" w:type="dxa"/>
              <w:left w:w="60" w:type="dxa"/>
              <w:bottom w:w="60" w:type="dxa"/>
              <w:right w:w="60" w:type="dxa"/>
            </w:tcMar>
          </w:tcPr>
          <w:p w14:paraId="3ED9562B" w14:textId="77777777" w:rsidR="00B05B62" w:rsidRDefault="00F87721">
            <w:pPr>
              <w:jc w:val="center"/>
            </w:pPr>
            <w:r>
              <w:rPr>
                <w:b/>
                <w:bCs/>
                <w:color w:val="FFFFFF"/>
                <w:sz w:val="20"/>
                <w:szCs w:val="20"/>
              </w:rPr>
              <w:t>Cu TVA</w:t>
            </w:r>
          </w:p>
        </w:tc>
      </w:tr>
      <w:tr w:rsidR="00B05B62" w14:paraId="3F791A13" w14:textId="77777777">
        <w:tc>
          <w:tcPr>
            <w:tcW w:w="0" w:type="auto"/>
            <w:tcBorders>
              <w:top w:val="single" w:sz="1" w:space="0" w:color="AAAAAA"/>
              <w:left w:val="single" w:sz="1" w:space="0" w:color="AAAAAA"/>
              <w:bottom w:val="single" w:sz="1" w:space="0" w:color="AAAAAA"/>
              <w:right w:val="single" w:sz="1" w:space="0" w:color="AAAAAA"/>
            </w:tcBorders>
            <w:shd w:val="clear" w:color="auto" w:fill="DEEAF1"/>
            <w:tcMar>
              <w:top w:w="60" w:type="dxa"/>
              <w:left w:w="120" w:type="dxa"/>
              <w:bottom w:w="60" w:type="dxa"/>
              <w:right w:w="120" w:type="dxa"/>
            </w:tcMar>
          </w:tcPr>
          <w:p w14:paraId="42A7E518" w14:textId="77777777" w:rsidR="00B05B62" w:rsidRDefault="00F87721">
            <w:r>
              <w:rPr>
                <w:b/>
                <w:bCs/>
                <w:sz w:val="20"/>
                <w:szCs w:val="20"/>
              </w:rPr>
              <w:t>Valoarea totală a investiției (lei)</w:t>
            </w:r>
          </w:p>
        </w:tc>
        <w:tc>
          <w:tcPr>
            <w:tcW w:w="0" w:type="auto"/>
            <w:tcBorders>
              <w:top w:val="single" w:sz="1" w:space="0" w:color="AAAAAA"/>
              <w:left w:val="single" w:sz="1" w:space="0" w:color="AAAAAA"/>
              <w:bottom w:val="single" w:sz="1" w:space="0" w:color="AAAAAA"/>
              <w:right w:val="single" w:sz="1" w:space="0" w:color="AAAAAA"/>
            </w:tcBorders>
            <w:shd w:val="clear" w:color="auto" w:fill="DEEAF1"/>
            <w:tcMar>
              <w:top w:w="60" w:type="dxa"/>
              <w:left w:w="60" w:type="dxa"/>
              <w:bottom w:w="60" w:type="dxa"/>
              <w:right w:w="60" w:type="dxa"/>
            </w:tcMar>
          </w:tcPr>
          <w:p w14:paraId="3E0CAB33" w14:textId="77777777" w:rsidR="00B05B62" w:rsidRDefault="00F87721">
            <w:pPr>
              <w:jc w:val="right"/>
            </w:pPr>
            <w:r>
              <w:rPr>
                <w:b/>
                <w:bCs/>
                <w:sz w:val="20"/>
                <w:szCs w:val="20"/>
              </w:rPr>
              <w:t>379.432,00</w:t>
            </w:r>
          </w:p>
        </w:tc>
        <w:tc>
          <w:tcPr>
            <w:tcW w:w="0" w:type="auto"/>
            <w:tcBorders>
              <w:top w:val="single" w:sz="1" w:space="0" w:color="AAAAAA"/>
              <w:left w:val="single" w:sz="1" w:space="0" w:color="AAAAAA"/>
              <w:bottom w:val="single" w:sz="1" w:space="0" w:color="AAAAAA"/>
              <w:right w:val="single" w:sz="1" w:space="0" w:color="AAAAAA"/>
            </w:tcBorders>
            <w:shd w:val="clear" w:color="auto" w:fill="DEEAF1"/>
            <w:tcMar>
              <w:top w:w="60" w:type="dxa"/>
              <w:left w:w="60" w:type="dxa"/>
              <w:bottom w:w="60" w:type="dxa"/>
              <w:right w:w="60" w:type="dxa"/>
            </w:tcMar>
          </w:tcPr>
          <w:p w14:paraId="0710A96F" w14:textId="77777777" w:rsidR="00B05B62" w:rsidRDefault="00F87721">
            <w:pPr>
              <w:jc w:val="right"/>
            </w:pPr>
            <w:r>
              <w:rPr>
                <w:b/>
                <w:bCs/>
                <w:sz w:val="20"/>
                <w:szCs w:val="20"/>
              </w:rPr>
              <w:t>78.960,00</w:t>
            </w:r>
          </w:p>
        </w:tc>
        <w:tc>
          <w:tcPr>
            <w:tcW w:w="0" w:type="auto"/>
            <w:tcBorders>
              <w:top w:val="single" w:sz="1" w:space="0" w:color="AAAAAA"/>
              <w:left w:val="single" w:sz="1" w:space="0" w:color="AAAAAA"/>
              <w:bottom w:val="single" w:sz="1" w:space="0" w:color="AAAAAA"/>
              <w:right w:val="single" w:sz="1" w:space="0" w:color="AAAAAA"/>
            </w:tcBorders>
            <w:shd w:val="clear" w:color="auto" w:fill="DEEAF1"/>
            <w:tcMar>
              <w:top w:w="60" w:type="dxa"/>
              <w:left w:w="60" w:type="dxa"/>
              <w:bottom w:w="60" w:type="dxa"/>
              <w:right w:w="60" w:type="dxa"/>
            </w:tcMar>
          </w:tcPr>
          <w:p w14:paraId="2540BC00" w14:textId="77777777" w:rsidR="00B05B62" w:rsidRDefault="00F87721">
            <w:pPr>
              <w:jc w:val="right"/>
            </w:pPr>
            <w:r>
              <w:rPr>
                <w:b/>
                <w:bCs/>
                <w:sz w:val="20"/>
                <w:szCs w:val="20"/>
              </w:rPr>
              <w:t>458.392,00</w:t>
            </w:r>
          </w:p>
        </w:tc>
      </w:tr>
      <w:tr w:rsidR="00B05B62" w14:paraId="00B8D8E4" w14:textId="77777777">
        <w:tc>
          <w:tcPr>
            <w:tcW w:w="0" w:type="auto"/>
            <w:tcBorders>
              <w:top w:val="single" w:sz="1" w:space="0" w:color="AAAAAA"/>
              <w:left w:val="single" w:sz="1" w:space="0" w:color="AAAAAA"/>
              <w:bottom w:val="single" w:sz="1" w:space="0" w:color="AAAAAA"/>
              <w:right w:val="single" w:sz="1" w:space="0" w:color="AAAAAA"/>
            </w:tcBorders>
            <w:shd w:val="clear" w:color="auto" w:fill="E2EFDA"/>
            <w:tcMar>
              <w:top w:w="60" w:type="dxa"/>
              <w:left w:w="120" w:type="dxa"/>
              <w:bottom w:w="60" w:type="dxa"/>
              <w:right w:w="120" w:type="dxa"/>
            </w:tcMar>
          </w:tcPr>
          <w:p w14:paraId="23EA2F15" w14:textId="77777777" w:rsidR="00B05B62" w:rsidRDefault="00F87721">
            <w:r>
              <w:rPr>
                <w:b/>
                <w:bCs/>
                <w:sz w:val="20"/>
                <w:szCs w:val="20"/>
              </w:rPr>
              <w:t>din care: Valoarea C+M (lei)</w:t>
            </w:r>
          </w:p>
        </w:tc>
        <w:tc>
          <w:tcPr>
            <w:tcW w:w="0" w:type="auto"/>
            <w:tcBorders>
              <w:top w:val="single" w:sz="1" w:space="0" w:color="AAAAAA"/>
              <w:left w:val="single" w:sz="1" w:space="0" w:color="AAAAAA"/>
              <w:bottom w:val="single" w:sz="1" w:space="0" w:color="AAAAAA"/>
              <w:right w:val="single" w:sz="1" w:space="0" w:color="AAAAAA"/>
            </w:tcBorders>
            <w:shd w:val="clear" w:color="auto" w:fill="E2EFDA"/>
            <w:tcMar>
              <w:top w:w="60" w:type="dxa"/>
              <w:left w:w="60" w:type="dxa"/>
              <w:bottom w:w="60" w:type="dxa"/>
              <w:right w:w="60" w:type="dxa"/>
            </w:tcMar>
          </w:tcPr>
          <w:p w14:paraId="6A1D0CD9" w14:textId="77777777" w:rsidR="00B05B62" w:rsidRDefault="00F87721">
            <w:pPr>
              <w:jc w:val="right"/>
            </w:pPr>
            <w:r>
              <w:rPr>
                <w:b/>
                <w:bCs/>
                <w:sz w:val="20"/>
                <w:szCs w:val="20"/>
              </w:rPr>
              <w:t>312.000,00</w:t>
            </w:r>
          </w:p>
        </w:tc>
        <w:tc>
          <w:tcPr>
            <w:tcW w:w="0" w:type="auto"/>
            <w:tcBorders>
              <w:top w:val="single" w:sz="1" w:space="0" w:color="AAAAAA"/>
              <w:left w:val="single" w:sz="1" w:space="0" w:color="AAAAAA"/>
              <w:bottom w:val="single" w:sz="1" w:space="0" w:color="AAAAAA"/>
              <w:right w:val="single" w:sz="1" w:space="0" w:color="AAAAAA"/>
            </w:tcBorders>
            <w:shd w:val="clear" w:color="auto" w:fill="E2EFDA"/>
            <w:tcMar>
              <w:top w:w="60" w:type="dxa"/>
              <w:left w:w="60" w:type="dxa"/>
              <w:bottom w:w="60" w:type="dxa"/>
              <w:right w:w="60" w:type="dxa"/>
            </w:tcMar>
          </w:tcPr>
          <w:p w14:paraId="7782C0F6" w14:textId="77777777" w:rsidR="00B05B62" w:rsidRDefault="00F87721">
            <w:pPr>
              <w:jc w:val="right"/>
            </w:pPr>
            <w:r>
              <w:rPr>
                <w:b/>
                <w:bCs/>
                <w:sz w:val="20"/>
                <w:szCs w:val="20"/>
              </w:rPr>
              <w:t>65.520,00</w:t>
            </w:r>
          </w:p>
        </w:tc>
        <w:tc>
          <w:tcPr>
            <w:tcW w:w="0" w:type="auto"/>
            <w:tcBorders>
              <w:top w:val="single" w:sz="1" w:space="0" w:color="AAAAAA"/>
              <w:left w:val="single" w:sz="1" w:space="0" w:color="AAAAAA"/>
              <w:bottom w:val="single" w:sz="1" w:space="0" w:color="AAAAAA"/>
              <w:right w:val="single" w:sz="1" w:space="0" w:color="AAAAAA"/>
            </w:tcBorders>
            <w:shd w:val="clear" w:color="auto" w:fill="E2EFDA"/>
            <w:tcMar>
              <w:top w:w="60" w:type="dxa"/>
              <w:left w:w="60" w:type="dxa"/>
              <w:bottom w:w="60" w:type="dxa"/>
              <w:right w:w="60" w:type="dxa"/>
            </w:tcMar>
          </w:tcPr>
          <w:p w14:paraId="6E319F4A" w14:textId="77777777" w:rsidR="00B05B62" w:rsidRDefault="00F87721">
            <w:pPr>
              <w:jc w:val="right"/>
            </w:pPr>
            <w:r>
              <w:rPr>
                <w:b/>
                <w:bCs/>
                <w:sz w:val="20"/>
                <w:szCs w:val="20"/>
              </w:rPr>
              <w:t>377.520,00</w:t>
            </w:r>
          </w:p>
        </w:tc>
      </w:tr>
    </w:tbl>
    <w:p w14:paraId="4E6551CF" w14:textId="77777777" w:rsidR="00B05B62" w:rsidRDefault="00B05B62">
      <w:pPr>
        <w:spacing w:before="80"/>
      </w:pPr>
    </w:p>
    <w:p w14:paraId="200047C5" w14:textId="77777777" w:rsidR="00B05B62" w:rsidRDefault="00F87721">
      <w:pPr>
        <w:spacing w:before="60" w:after="60"/>
        <w:jc w:val="both"/>
      </w:pPr>
      <w:r>
        <w:t>Capacități tehnice (unități fizice):</w:t>
      </w:r>
    </w:p>
    <w:p w14:paraId="45CE2024" w14:textId="77777777" w:rsidR="00B05B62" w:rsidRDefault="00F87721">
      <w:pPr>
        <w:spacing w:before="60" w:after="60"/>
        <w:ind w:left="360"/>
        <w:jc w:val="both"/>
      </w:pPr>
      <w:r>
        <w:t>— suprafața terenului multisport: 40 m × 20 m = 800 mp;</w:t>
      </w:r>
    </w:p>
    <w:p w14:paraId="0FB3DB2D" w14:textId="77777777" w:rsidR="00B05B62" w:rsidRDefault="00F87721">
      <w:pPr>
        <w:spacing w:before="60" w:after="60"/>
        <w:ind w:left="360"/>
        <w:jc w:val="both"/>
      </w:pPr>
      <w:r>
        <w:t>— tip suprafață: gazon sintetic;</w:t>
      </w:r>
    </w:p>
    <w:p w14:paraId="01EBF583" w14:textId="77777777" w:rsidR="00B05B62" w:rsidRDefault="00F87721">
      <w:pPr>
        <w:spacing w:before="60" w:after="60"/>
        <w:ind w:left="360"/>
        <w:jc w:val="both"/>
      </w:pPr>
      <w:r>
        <w:t>— împrejmuire cu gard metalic;</w:t>
      </w:r>
    </w:p>
    <w:p w14:paraId="543663DA" w14:textId="77777777" w:rsidR="00B05B62" w:rsidRDefault="00F87721">
      <w:pPr>
        <w:spacing w:before="60" w:after="60"/>
        <w:ind w:left="360"/>
        <w:jc w:val="both"/>
      </w:pPr>
      <w:r>
        <w:t>— durată de realizare a investiției: _______ luni calendaristice.</w:t>
      </w:r>
    </w:p>
    <w:p w14:paraId="45A1840E" w14:textId="77777777" w:rsidR="00B05B62" w:rsidRDefault="00B05B62">
      <w:pPr>
        <w:spacing w:before="80"/>
      </w:pPr>
    </w:p>
    <w:p w14:paraId="6053E01B" w14:textId="77777777" w:rsidR="00B05B62" w:rsidRDefault="00F87721">
      <w:pPr>
        <w:spacing w:before="60" w:after="60"/>
        <w:jc w:val="both"/>
      </w:pPr>
      <w:r>
        <w:t>Art. 2. Finanțarea investiției se asigură din __________________________________ (bugetul local al Comunei Gura Ialomiței / fonduri nerambursabile / altele — se completează conform realității).</w:t>
      </w:r>
    </w:p>
    <w:p w14:paraId="0CC94F8B" w14:textId="77777777" w:rsidR="00B05B62" w:rsidRDefault="00B05B62">
      <w:pPr>
        <w:spacing w:before="80"/>
      </w:pPr>
    </w:p>
    <w:p w14:paraId="21FD31E8" w14:textId="77777777" w:rsidR="00B05B62" w:rsidRDefault="00F87721">
      <w:pPr>
        <w:spacing w:before="60" w:after="60"/>
        <w:jc w:val="both"/>
      </w:pPr>
      <w:r>
        <w:t>Art. 3. Se mandatează Primarul Comunei Gura Ialomiței, dl. Alexandru Florea, să întreprindă toate demersurile legale necesare pentru implementarea prezentei hotărâri, inclusiv inițierea și derularea procedurilor de achiziție publică în conformitate cu prevederile Legii nr. 98/2016.</w:t>
      </w:r>
    </w:p>
    <w:p w14:paraId="097063C8" w14:textId="77777777" w:rsidR="00B05B62" w:rsidRDefault="00B05B62">
      <w:pPr>
        <w:spacing w:before="80"/>
      </w:pPr>
    </w:p>
    <w:p w14:paraId="0E5B01EF" w14:textId="2C3C3246" w:rsidR="00B05B62" w:rsidRDefault="00F87721" w:rsidP="00A61202">
      <w:pPr>
        <w:spacing w:before="60" w:after="60"/>
        <w:jc w:val="both"/>
      </w:pPr>
      <w:r>
        <w:t>Art. 4. Secretarul gen</w:t>
      </w:r>
      <w:r w:rsidR="00A61202">
        <w:t>eral al Comunei Gura Ialomiței,</w:t>
      </w:r>
      <w:r>
        <w:t>va asigura comunicarea prezentei hotărâri: Primarului Comunei Gura Ialomiței, Compartimentului financiar-contabil, Compartimentului achiziții publice și Instituției Prefect</w:t>
      </w:r>
      <w:r w:rsidR="00A61202">
        <w:t>ului — Județul Ialomița,in vederea exercitarii controlului de legalitate.</w:t>
      </w:r>
    </w:p>
    <w:p w14:paraId="7A48AB26" w14:textId="77777777" w:rsidR="00A84A6B" w:rsidRDefault="00A84A6B"/>
    <w:p w14:paraId="1C617A74" w14:textId="34FF9526" w:rsidR="00A61202" w:rsidRDefault="00A61202">
      <w:r>
        <w:t>INITIATOR PROIEC T DE HOTARARE                                   AVIZAT</w:t>
      </w:r>
    </w:p>
    <w:p w14:paraId="62A37D02" w14:textId="2925B3A4" w:rsidR="00A61202" w:rsidRDefault="00A61202">
      <w:r>
        <w:t>PRIMAR                                                                                   SECRETAR GENERAL</w:t>
      </w:r>
    </w:p>
    <w:p w14:paraId="4C09A5AD" w14:textId="6112CDD5" w:rsidR="00A61202" w:rsidRDefault="00A61202">
      <w:r>
        <w:t>FLOREA ALEXANDRU                                                          IVASCU STEFANA</w:t>
      </w:r>
      <w:r w:rsidR="00682A59">
        <w:t xml:space="preserve"> </w:t>
      </w:r>
    </w:p>
    <w:sectPr w:rsidR="00A61202">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844B5"/>
    <w:multiLevelType w:val="hybridMultilevel"/>
    <w:tmpl w:val="3A0AE422"/>
    <w:lvl w:ilvl="0" w:tplc="76B6B826">
      <w:start w:val="1"/>
      <w:numFmt w:val="bullet"/>
      <w:lvlText w:val="—"/>
      <w:lvlJc w:val="left"/>
      <w:pPr>
        <w:ind w:left="360" w:hanging="360"/>
      </w:pPr>
    </w:lvl>
    <w:lvl w:ilvl="1" w:tplc="FAA8B3AC">
      <w:numFmt w:val="decimal"/>
      <w:lvlText w:val=""/>
      <w:lvlJc w:val="left"/>
    </w:lvl>
    <w:lvl w:ilvl="2" w:tplc="4920C822">
      <w:numFmt w:val="decimal"/>
      <w:lvlText w:val=""/>
      <w:lvlJc w:val="left"/>
    </w:lvl>
    <w:lvl w:ilvl="3" w:tplc="5ABA23AE">
      <w:numFmt w:val="decimal"/>
      <w:lvlText w:val=""/>
      <w:lvlJc w:val="left"/>
    </w:lvl>
    <w:lvl w:ilvl="4" w:tplc="1E7A8BBA">
      <w:numFmt w:val="decimal"/>
      <w:lvlText w:val=""/>
      <w:lvlJc w:val="left"/>
    </w:lvl>
    <w:lvl w:ilvl="5" w:tplc="00E6B316">
      <w:numFmt w:val="decimal"/>
      <w:lvlText w:val=""/>
      <w:lvlJc w:val="left"/>
    </w:lvl>
    <w:lvl w:ilvl="6" w:tplc="C4BE22BE">
      <w:numFmt w:val="decimal"/>
      <w:lvlText w:val=""/>
      <w:lvlJc w:val="left"/>
    </w:lvl>
    <w:lvl w:ilvl="7" w:tplc="2FA8AD12">
      <w:numFmt w:val="decimal"/>
      <w:lvlText w:val=""/>
      <w:lvlJc w:val="left"/>
    </w:lvl>
    <w:lvl w:ilvl="8" w:tplc="195429D2">
      <w:numFmt w:val="decimal"/>
      <w:lvlText w:val=""/>
      <w:lvlJc w:val="left"/>
    </w:lvl>
  </w:abstractNum>
  <w:abstractNum w:abstractNumId="1">
    <w:nsid w:val="5C2715FA"/>
    <w:multiLevelType w:val="hybridMultilevel"/>
    <w:tmpl w:val="BBD0B474"/>
    <w:lvl w:ilvl="0" w:tplc="48B00B22">
      <w:start w:val="1"/>
      <w:numFmt w:val="bullet"/>
      <w:lvlText w:val="●"/>
      <w:lvlJc w:val="left"/>
      <w:pPr>
        <w:ind w:left="720" w:hanging="360"/>
      </w:pPr>
    </w:lvl>
    <w:lvl w:ilvl="1" w:tplc="91AE3FAC">
      <w:start w:val="1"/>
      <w:numFmt w:val="bullet"/>
      <w:lvlText w:val="○"/>
      <w:lvlJc w:val="left"/>
      <w:pPr>
        <w:ind w:left="1440" w:hanging="360"/>
      </w:pPr>
    </w:lvl>
    <w:lvl w:ilvl="2" w:tplc="03AE8334">
      <w:start w:val="1"/>
      <w:numFmt w:val="bullet"/>
      <w:lvlText w:val="■"/>
      <w:lvlJc w:val="left"/>
      <w:pPr>
        <w:ind w:left="2160" w:hanging="360"/>
      </w:pPr>
    </w:lvl>
    <w:lvl w:ilvl="3" w:tplc="ECB8179C">
      <w:start w:val="1"/>
      <w:numFmt w:val="bullet"/>
      <w:lvlText w:val="●"/>
      <w:lvlJc w:val="left"/>
      <w:pPr>
        <w:ind w:left="2880" w:hanging="360"/>
      </w:pPr>
    </w:lvl>
    <w:lvl w:ilvl="4" w:tplc="FA261526">
      <w:start w:val="1"/>
      <w:numFmt w:val="bullet"/>
      <w:lvlText w:val="○"/>
      <w:lvlJc w:val="left"/>
      <w:pPr>
        <w:ind w:left="3600" w:hanging="360"/>
      </w:pPr>
    </w:lvl>
    <w:lvl w:ilvl="5" w:tplc="9F68CEC8">
      <w:start w:val="1"/>
      <w:numFmt w:val="bullet"/>
      <w:lvlText w:val="■"/>
      <w:lvlJc w:val="left"/>
      <w:pPr>
        <w:ind w:left="4320" w:hanging="360"/>
      </w:pPr>
    </w:lvl>
    <w:lvl w:ilvl="6" w:tplc="42D07C5C">
      <w:start w:val="1"/>
      <w:numFmt w:val="bullet"/>
      <w:lvlText w:val="●"/>
      <w:lvlJc w:val="left"/>
      <w:pPr>
        <w:ind w:left="5040" w:hanging="360"/>
      </w:pPr>
    </w:lvl>
    <w:lvl w:ilvl="7" w:tplc="3574ECBC">
      <w:start w:val="1"/>
      <w:numFmt w:val="bullet"/>
      <w:lvlText w:val="●"/>
      <w:lvlJc w:val="left"/>
      <w:pPr>
        <w:ind w:left="5760" w:hanging="360"/>
      </w:pPr>
    </w:lvl>
    <w:lvl w:ilvl="8" w:tplc="A538CC64">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B62"/>
    <w:rsid w:val="000B0015"/>
    <w:rsid w:val="002A41B1"/>
    <w:rsid w:val="004F1983"/>
    <w:rsid w:val="00682A59"/>
    <w:rsid w:val="007A62ED"/>
    <w:rsid w:val="008714A7"/>
    <w:rsid w:val="00923902"/>
    <w:rsid w:val="00A61202"/>
    <w:rsid w:val="00A84A6B"/>
    <w:rsid w:val="00B05B62"/>
    <w:rsid w:val="00E15049"/>
    <w:rsid w:val="00F420AF"/>
    <w:rsid w:val="00F8772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Robust1">
    <w:name w:val="Robust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Papacioc Antoniu</cp:lastModifiedBy>
  <cp:revision>5</cp:revision>
  <cp:lastPrinted>2026-06-11T11:41:00Z</cp:lastPrinted>
  <dcterms:created xsi:type="dcterms:W3CDTF">2026-06-11T11:34:00Z</dcterms:created>
  <dcterms:modified xsi:type="dcterms:W3CDTF">2026-06-26T06:43:00Z</dcterms:modified>
</cp:coreProperties>
</file>